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fr-CA"/>
        </w:rPr>
        <w:id w:val="-812799330"/>
        <w:docPartObj>
          <w:docPartGallery w:val="Cover Pages"/>
          <w:docPartUnique/>
        </w:docPartObj>
      </w:sdtPr>
      <w:sdtEndPr/>
      <w:sdtContent>
        <w:p w14:paraId="3BE5BE64" w14:textId="77777777" w:rsidR="003C4FF2" w:rsidRPr="003C4FF2" w:rsidRDefault="003C4FF2" w:rsidP="003C4FF2">
          <w:pPr>
            <w:ind w:left="1701" w:firstLine="567"/>
            <w:jc w:val="center"/>
            <w:rPr>
              <w:lang w:val="fr-CA"/>
            </w:rPr>
          </w:pPr>
          <w:r w:rsidRPr="003C4FF2">
            <w:rPr>
              <w:noProof/>
              <w:lang w:val="fr-CA" w:eastAsia="fr-FR"/>
            </w:rPr>
            <w:drawing>
              <wp:inline distT="0" distB="0" distL="0" distR="0" wp14:anchorId="06DBF4EA" wp14:editId="3F4F67BC">
                <wp:extent cx="3816350" cy="3816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0" cy="3816350"/>
                        </a:xfrm>
                        <a:prstGeom prst="rect">
                          <a:avLst/>
                        </a:prstGeom>
                        <a:noFill/>
                      </pic:spPr>
                    </pic:pic>
                  </a:graphicData>
                </a:graphic>
              </wp:inline>
            </w:drawing>
          </w:r>
        </w:p>
        <w:p w14:paraId="77C5D5A5" w14:textId="77777777" w:rsidR="003C4FF2" w:rsidRPr="003C4FF2" w:rsidRDefault="003C4FF2" w:rsidP="003C4FF2">
          <w:pPr>
            <w:ind w:left="1134"/>
            <w:jc w:val="center"/>
            <w:rPr>
              <w:color w:val="1F3864" w:themeColor="accent1" w:themeShade="80"/>
              <w:sz w:val="36"/>
              <w:szCs w:val="36"/>
              <w:lang w:val="fr-CA"/>
            </w:rPr>
          </w:pPr>
          <w:r w:rsidRPr="003C4FF2">
            <w:rPr>
              <w:color w:val="1F3864" w:themeColor="accent1" w:themeShade="80"/>
              <w:sz w:val="36"/>
              <w:szCs w:val="36"/>
              <w:lang w:val="fr-CA"/>
            </w:rPr>
            <w:t>Office de commercialisation du poisson d’eau douce</w:t>
          </w:r>
        </w:p>
        <w:p w14:paraId="7BA21A8A" w14:textId="77777777" w:rsidR="003C4FF2" w:rsidRPr="003C4FF2" w:rsidRDefault="003C4FF2" w:rsidP="003C4FF2">
          <w:pPr>
            <w:ind w:left="1134"/>
            <w:jc w:val="center"/>
            <w:rPr>
              <w:color w:val="1F3864" w:themeColor="accent1" w:themeShade="80"/>
              <w:sz w:val="36"/>
              <w:szCs w:val="36"/>
              <w:lang w:val="fr-CA"/>
            </w:rPr>
          </w:pPr>
        </w:p>
        <w:p w14:paraId="14E12D3A" w14:textId="77777777" w:rsidR="003C4FF2" w:rsidRPr="003C4FF2" w:rsidRDefault="003C4FF2" w:rsidP="003C4FF2">
          <w:pPr>
            <w:ind w:left="1134"/>
            <w:jc w:val="center"/>
            <w:rPr>
              <w:caps/>
              <w:color w:val="1F3864" w:themeColor="accent1" w:themeShade="80"/>
              <w:sz w:val="36"/>
              <w:szCs w:val="36"/>
              <w:lang w:val="fr-CA"/>
            </w:rPr>
          </w:pPr>
          <w:r w:rsidRPr="003C4FF2">
            <w:rPr>
              <w:caps/>
              <w:color w:val="1F3864" w:themeColor="accent1" w:themeShade="80"/>
              <w:sz w:val="36"/>
              <w:szCs w:val="36"/>
              <w:lang w:val="fr-CA"/>
            </w:rPr>
            <w:t>La lutte contre le travail forcé et le travail des enfants dans les chaînes d’approvisionnement</w:t>
          </w:r>
        </w:p>
        <w:p w14:paraId="1D90BEBF" w14:textId="77777777" w:rsidR="003C4FF2" w:rsidRPr="003C4FF2" w:rsidRDefault="003C4FF2" w:rsidP="003C4FF2">
          <w:pPr>
            <w:tabs>
              <w:tab w:val="left" w:pos="1418"/>
            </w:tabs>
            <w:ind w:left="1276" w:hanging="1417"/>
            <w:jc w:val="center"/>
            <w:rPr>
              <w:color w:val="1F3864" w:themeColor="accent1" w:themeShade="80"/>
              <w:sz w:val="32"/>
              <w:szCs w:val="32"/>
              <w:lang w:val="fr-CA"/>
            </w:rPr>
          </w:pPr>
          <w:r w:rsidRPr="003C4FF2">
            <w:rPr>
              <w:color w:val="1F3864" w:themeColor="accent1" w:themeShade="80"/>
              <w:sz w:val="32"/>
              <w:szCs w:val="32"/>
              <w:lang w:val="fr-CA"/>
            </w:rPr>
            <w:t xml:space="preserve">                  </w:t>
          </w:r>
        </w:p>
        <w:p w14:paraId="54F27376" w14:textId="77777777" w:rsidR="003C4FF2" w:rsidRPr="003C4FF2" w:rsidRDefault="003C4FF2" w:rsidP="003C4FF2">
          <w:pPr>
            <w:ind w:left="1134"/>
            <w:jc w:val="center"/>
            <w:rPr>
              <w:rFonts w:cstheme="minorHAnsi"/>
              <w:color w:val="1F3864" w:themeColor="accent1" w:themeShade="80"/>
              <w:sz w:val="36"/>
              <w:szCs w:val="36"/>
              <w:lang w:val="fr-CA"/>
            </w:rPr>
          </w:pPr>
          <w:r w:rsidRPr="003C4FF2">
            <w:rPr>
              <w:rFonts w:cstheme="minorHAnsi"/>
              <w:color w:val="008A97"/>
              <w:sz w:val="36"/>
              <w:szCs w:val="36"/>
              <w:lang w:val="fr-CA"/>
            </w:rPr>
            <w:t xml:space="preserve">Rapport 2025 </w:t>
          </w:r>
        </w:p>
        <w:p w14:paraId="74445A0B" w14:textId="77777777" w:rsidR="003C4FF2" w:rsidRPr="003C4FF2" w:rsidRDefault="003C4FF2" w:rsidP="003C4FF2">
          <w:pPr>
            <w:rPr>
              <w:lang w:val="fr-CA"/>
            </w:rPr>
          </w:pPr>
        </w:p>
        <w:p w14:paraId="7D3F5293" w14:textId="77777777" w:rsidR="003C4FF2" w:rsidRPr="003C4FF2" w:rsidRDefault="003C4FF2" w:rsidP="003C4FF2">
          <w:pPr>
            <w:rPr>
              <w:lang w:val="fr-CA"/>
            </w:rPr>
          </w:pPr>
        </w:p>
        <w:p w14:paraId="014FD7E7" w14:textId="77777777" w:rsidR="003C4FF2" w:rsidRPr="003C4FF2" w:rsidRDefault="003C4FF2" w:rsidP="003C4FF2">
          <w:pPr>
            <w:rPr>
              <w:lang w:val="fr-CA"/>
            </w:rPr>
          </w:pPr>
        </w:p>
        <w:p w14:paraId="6F1A6E30" w14:textId="77777777" w:rsidR="003C4FF2" w:rsidRPr="003C4FF2" w:rsidRDefault="003C4FF2" w:rsidP="003C4FF2">
          <w:pPr>
            <w:rPr>
              <w:lang w:val="fr-CA"/>
            </w:rPr>
          </w:pPr>
        </w:p>
        <w:p w14:paraId="64022D42" w14:textId="77777777" w:rsidR="003C4FF2" w:rsidRPr="003C4FF2" w:rsidRDefault="003C4FF2" w:rsidP="003C4FF2">
          <w:pPr>
            <w:rPr>
              <w:lang w:val="fr-CA"/>
            </w:rPr>
          </w:pPr>
        </w:p>
        <w:p w14:paraId="428F3217" w14:textId="77777777" w:rsidR="003C4FF2" w:rsidRPr="003C4FF2" w:rsidRDefault="003C4FF2" w:rsidP="003C4FF2">
          <w:pPr>
            <w:rPr>
              <w:lang w:val="fr-CA"/>
            </w:rPr>
          </w:pPr>
        </w:p>
        <w:p w14:paraId="0A817287" w14:textId="77777777" w:rsidR="003C4FF2" w:rsidRPr="003C4FF2" w:rsidRDefault="003C4FF2" w:rsidP="003C4FF2">
          <w:pPr>
            <w:rPr>
              <w:lang w:val="fr-CA"/>
            </w:rPr>
          </w:pPr>
        </w:p>
        <w:p w14:paraId="2313542D" w14:textId="77777777" w:rsidR="003C4FF2" w:rsidRPr="003C4FF2" w:rsidRDefault="003C4FF2" w:rsidP="003C4FF2">
          <w:pPr>
            <w:rPr>
              <w:lang w:val="fr-CA"/>
            </w:rPr>
          </w:pPr>
          <w:r w:rsidRPr="003C4FF2">
            <w:rPr>
              <w:lang w:val="fr-CA"/>
            </w:rPr>
            <w:br w:type="page"/>
          </w:r>
        </w:p>
        <w:p w14:paraId="3790FF7D" w14:textId="77777777" w:rsidR="003C4FF2" w:rsidRPr="003C4FF2" w:rsidRDefault="0087521C" w:rsidP="003C4FF2">
          <w:pPr>
            <w:rPr>
              <w:lang w:val="fr-CA"/>
            </w:rPr>
          </w:pPr>
        </w:p>
      </w:sdtContent>
    </w:sdt>
    <w:sdt>
      <w:sdtPr>
        <w:rPr>
          <w:rFonts w:eastAsiaTheme="minorEastAsia" w:cs="Times New Roman"/>
          <w:b/>
          <w:bCs/>
          <w:color w:val="auto"/>
          <w:kern w:val="2"/>
          <w:sz w:val="22"/>
          <w:lang w:val="fr-CA"/>
        </w:rPr>
        <w:id w:val="320017483"/>
        <w:docPartObj>
          <w:docPartGallery w:val="Table of Contents"/>
          <w:docPartUnique/>
        </w:docPartObj>
      </w:sdtPr>
      <w:sdtEndPr>
        <w:rPr>
          <w:bCs w:val="0"/>
          <w:kern w:val="0"/>
        </w:rPr>
      </w:sdtEndPr>
      <w:sdtContent>
        <w:p w14:paraId="50A640A4" w14:textId="77777777" w:rsidR="003C4FF2" w:rsidRPr="003C4FF2" w:rsidRDefault="003C4FF2" w:rsidP="003C4FF2">
          <w:pPr>
            <w:pStyle w:val="TOCHeading"/>
            <w:spacing w:after="0"/>
            <w:ind w:left="284"/>
            <w:rPr>
              <w:b/>
              <w:bCs/>
              <w:lang w:val="fr-CA"/>
            </w:rPr>
          </w:pPr>
          <w:r w:rsidRPr="003C4FF2">
            <w:rPr>
              <w:lang w:val="fr-CA"/>
            </w:rPr>
            <w:t>Table des matières</w:t>
          </w:r>
        </w:p>
        <w:p w14:paraId="150AB271" w14:textId="77777777" w:rsidR="003C4FF2" w:rsidRPr="003C4FF2" w:rsidRDefault="003C4FF2" w:rsidP="003C4FF2">
          <w:pPr>
            <w:pStyle w:val="TOC1"/>
            <w:spacing w:after="120"/>
            <w:ind w:left="284"/>
            <w:rPr>
              <w:b/>
              <w:bCs/>
              <w:lang w:val="fr-CA"/>
            </w:rPr>
          </w:pPr>
        </w:p>
        <w:p w14:paraId="566C4AE1" w14:textId="77777777" w:rsidR="003C4FF2" w:rsidRPr="003C4FF2" w:rsidRDefault="003C4FF2" w:rsidP="003C4FF2">
          <w:pPr>
            <w:pStyle w:val="TOC1"/>
            <w:tabs>
              <w:tab w:val="right" w:leader="dot" w:pos="8931"/>
            </w:tabs>
            <w:spacing w:after="120"/>
            <w:ind w:left="284"/>
            <w:rPr>
              <w:b/>
              <w:bCs/>
              <w:lang w:val="fr-CA"/>
            </w:rPr>
          </w:pPr>
          <w:r w:rsidRPr="003C4FF2">
            <w:rPr>
              <w:b/>
              <w:bCs/>
              <w:lang w:val="fr-CA"/>
            </w:rPr>
            <w:t xml:space="preserve">1. À propos de ce rapport </w:t>
          </w:r>
          <w:r w:rsidRPr="003C4FF2">
            <w:rPr>
              <w:b/>
              <w:bCs/>
              <w:lang w:val="fr-CA"/>
            </w:rPr>
            <w:tab/>
            <w:t xml:space="preserve"> 2</w:t>
          </w:r>
        </w:p>
        <w:p w14:paraId="13816B90" w14:textId="77777777" w:rsidR="003C4FF2" w:rsidRPr="003C4FF2" w:rsidRDefault="003C4FF2" w:rsidP="003C4FF2">
          <w:pPr>
            <w:pStyle w:val="TOC1"/>
            <w:tabs>
              <w:tab w:val="right" w:leader="dot" w:pos="8931"/>
            </w:tabs>
            <w:spacing w:after="120"/>
            <w:ind w:left="284"/>
            <w:rPr>
              <w:b/>
              <w:bCs/>
              <w:lang w:val="fr-CA"/>
            </w:rPr>
          </w:pPr>
          <w:r w:rsidRPr="003C4FF2">
            <w:rPr>
              <w:b/>
              <w:bCs/>
              <w:lang w:val="fr-CA"/>
            </w:rPr>
            <w:t>2. Structure, activités et chaîne d’approvisionnement</w:t>
          </w:r>
          <w:r w:rsidRPr="003C4FF2">
            <w:rPr>
              <w:b/>
              <w:bCs/>
              <w:lang w:val="fr-CA"/>
            </w:rPr>
            <w:tab/>
            <w:t xml:space="preserve"> 2</w:t>
          </w:r>
        </w:p>
        <w:p w14:paraId="67083446" w14:textId="77777777" w:rsidR="003C4FF2" w:rsidRPr="003C4FF2" w:rsidRDefault="003C4FF2" w:rsidP="003C4FF2">
          <w:pPr>
            <w:pStyle w:val="TOC1"/>
            <w:tabs>
              <w:tab w:val="right" w:leader="dot" w:pos="8931"/>
            </w:tabs>
            <w:spacing w:after="120"/>
            <w:ind w:left="284"/>
            <w:rPr>
              <w:b/>
              <w:bCs/>
              <w:lang w:val="fr-CA"/>
            </w:rPr>
          </w:pPr>
          <w:r w:rsidRPr="003C4FF2">
            <w:rPr>
              <w:b/>
              <w:bCs/>
              <w:lang w:val="fr-CA"/>
            </w:rPr>
            <w:t>3. Politiques, processus et diligence raisonnable</w:t>
          </w:r>
          <w:r w:rsidRPr="003C4FF2">
            <w:rPr>
              <w:b/>
              <w:bCs/>
              <w:lang w:val="fr-CA"/>
            </w:rPr>
            <w:tab/>
            <w:t xml:space="preserve"> 3</w:t>
          </w:r>
        </w:p>
        <w:p w14:paraId="40CA4DC7" w14:textId="77777777" w:rsidR="003C4FF2" w:rsidRPr="003C4FF2" w:rsidRDefault="003C4FF2" w:rsidP="003C4FF2">
          <w:pPr>
            <w:pStyle w:val="TOC1"/>
            <w:tabs>
              <w:tab w:val="right" w:leader="dot" w:pos="8931"/>
            </w:tabs>
            <w:ind w:left="284"/>
            <w:rPr>
              <w:b/>
              <w:bCs/>
              <w:lang w:val="fr-CA"/>
            </w:rPr>
          </w:pPr>
          <w:r w:rsidRPr="003C4FF2">
            <w:rPr>
              <w:b/>
              <w:lang w:val="fr-CA"/>
            </w:rPr>
            <w:t>4. Évaluation et identification des risques</w:t>
          </w:r>
          <w:r w:rsidRPr="003C4FF2">
            <w:rPr>
              <w:b/>
              <w:lang w:val="fr-CA"/>
            </w:rPr>
            <w:tab/>
            <w:t xml:space="preserve"> 5</w:t>
          </w:r>
        </w:p>
        <w:p w14:paraId="2C1697CC" w14:textId="77777777" w:rsidR="003C4FF2" w:rsidRPr="003C4FF2" w:rsidRDefault="003C4FF2" w:rsidP="003C4FF2">
          <w:pPr>
            <w:pStyle w:val="TOC1"/>
            <w:tabs>
              <w:tab w:val="right" w:leader="dot" w:pos="8931"/>
            </w:tabs>
            <w:ind w:left="284"/>
            <w:rPr>
              <w:b/>
              <w:bCs/>
              <w:lang w:val="fr-CA"/>
            </w:rPr>
          </w:pPr>
          <w:r w:rsidRPr="003C4FF2">
            <w:rPr>
              <w:b/>
              <w:lang w:val="fr-CA"/>
            </w:rPr>
            <w:t>5. Assainissement et mesures correctives</w:t>
          </w:r>
          <w:r w:rsidRPr="003C4FF2">
            <w:rPr>
              <w:b/>
              <w:lang w:val="fr-CA"/>
            </w:rPr>
            <w:tab/>
            <w:t xml:space="preserve"> 5</w:t>
          </w:r>
        </w:p>
        <w:p w14:paraId="79CA320A" w14:textId="77777777" w:rsidR="003C4FF2" w:rsidRPr="003C4FF2" w:rsidRDefault="003C4FF2" w:rsidP="003C4FF2">
          <w:pPr>
            <w:pStyle w:val="TOC1"/>
            <w:tabs>
              <w:tab w:val="right" w:leader="dot" w:pos="8931"/>
            </w:tabs>
            <w:ind w:left="284"/>
            <w:rPr>
              <w:b/>
              <w:bCs/>
              <w:lang w:val="fr-CA"/>
            </w:rPr>
          </w:pPr>
          <w:r w:rsidRPr="003C4FF2">
            <w:rPr>
              <w:b/>
              <w:lang w:val="fr-CA"/>
            </w:rPr>
            <w:t>6. Évaluation de l’efficacité</w:t>
          </w:r>
          <w:r w:rsidRPr="003C4FF2">
            <w:rPr>
              <w:b/>
              <w:lang w:val="fr-CA"/>
            </w:rPr>
            <w:tab/>
            <w:t xml:space="preserve"> 6</w:t>
          </w:r>
        </w:p>
        <w:p w14:paraId="5CEEAE08" w14:textId="77777777" w:rsidR="003C4FF2" w:rsidRPr="003C4FF2" w:rsidRDefault="003C4FF2" w:rsidP="003C4FF2">
          <w:pPr>
            <w:pStyle w:val="TOC1"/>
            <w:tabs>
              <w:tab w:val="right" w:leader="dot" w:pos="8931"/>
            </w:tabs>
            <w:ind w:left="284"/>
            <w:rPr>
              <w:b/>
              <w:bCs/>
              <w:lang w:val="fr-CA"/>
            </w:rPr>
          </w:pPr>
          <w:r w:rsidRPr="003C4FF2">
            <w:rPr>
              <w:b/>
              <w:lang w:val="fr-CA"/>
            </w:rPr>
            <w:t>7. Formation et sensibilisation</w:t>
          </w:r>
          <w:r w:rsidRPr="003C4FF2">
            <w:rPr>
              <w:b/>
              <w:lang w:val="fr-CA"/>
            </w:rPr>
            <w:tab/>
            <w:t xml:space="preserve"> 6</w:t>
          </w:r>
        </w:p>
        <w:p w14:paraId="4B97413F" w14:textId="77777777" w:rsidR="003C4FF2" w:rsidRPr="003C4FF2" w:rsidRDefault="003C4FF2" w:rsidP="003C4FF2">
          <w:pPr>
            <w:pStyle w:val="TOC1"/>
            <w:tabs>
              <w:tab w:val="right" w:leader="dot" w:pos="8931"/>
            </w:tabs>
            <w:ind w:left="284"/>
            <w:rPr>
              <w:b/>
              <w:bCs/>
              <w:lang w:val="fr-CA"/>
            </w:rPr>
          </w:pPr>
          <w:r w:rsidRPr="003C4FF2">
            <w:rPr>
              <w:b/>
              <w:lang w:val="fr-CA"/>
            </w:rPr>
            <w:t>8. Attestation</w:t>
          </w:r>
          <w:r w:rsidRPr="003C4FF2">
            <w:rPr>
              <w:b/>
              <w:lang w:val="fr-CA"/>
            </w:rPr>
            <w:tab/>
            <w:t xml:space="preserve"> </w:t>
          </w:r>
          <w:r w:rsidRPr="003C4FF2">
            <w:rPr>
              <w:b/>
              <w:bCs/>
              <w:lang w:val="fr-CA"/>
            </w:rPr>
            <w:t>6</w:t>
          </w:r>
        </w:p>
      </w:sdtContent>
    </w:sdt>
    <w:p w14:paraId="04AEEDA6" w14:textId="77777777" w:rsidR="003C4FF2" w:rsidRPr="003C4FF2" w:rsidRDefault="003C4FF2" w:rsidP="003C4FF2">
      <w:pPr>
        <w:rPr>
          <w:lang w:val="fr-CA"/>
        </w:rPr>
      </w:pPr>
    </w:p>
    <w:p w14:paraId="45DFB206" w14:textId="77777777" w:rsidR="003C4FF2" w:rsidRPr="003C4FF2" w:rsidRDefault="003C4FF2" w:rsidP="003C4FF2">
      <w:pPr>
        <w:rPr>
          <w:lang w:val="fr-CA"/>
        </w:rPr>
      </w:pPr>
    </w:p>
    <w:p w14:paraId="31BD7D47" w14:textId="77777777" w:rsidR="003C4FF2" w:rsidRPr="003C4FF2" w:rsidRDefault="003C4FF2" w:rsidP="003C4FF2">
      <w:pPr>
        <w:rPr>
          <w:lang w:val="fr-CA"/>
        </w:rPr>
      </w:pPr>
    </w:p>
    <w:p w14:paraId="4D7BD240" w14:textId="77777777" w:rsidR="003C4FF2" w:rsidRPr="003C4FF2" w:rsidRDefault="003C4FF2" w:rsidP="003C4FF2">
      <w:pPr>
        <w:rPr>
          <w:lang w:val="fr-CA"/>
        </w:rPr>
      </w:pPr>
    </w:p>
    <w:p w14:paraId="223DC9B4" w14:textId="77777777" w:rsidR="003C4FF2" w:rsidRPr="003C4FF2" w:rsidRDefault="003C4FF2" w:rsidP="003C4FF2">
      <w:pPr>
        <w:rPr>
          <w:lang w:val="fr-CA"/>
        </w:rPr>
      </w:pPr>
    </w:p>
    <w:p w14:paraId="376FB9CF" w14:textId="77777777" w:rsidR="003C4FF2" w:rsidRPr="003C4FF2" w:rsidRDefault="003C4FF2" w:rsidP="003C4FF2">
      <w:pPr>
        <w:rPr>
          <w:lang w:val="fr-CA"/>
        </w:rPr>
      </w:pPr>
    </w:p>
    <w:p w14:paraId="5438159C" w14:textId="77777777" w:rsidR="003C4FF2" w:rsidRPr="003C4FF2" w:rsidRDefault="003C4FF2" w:rsidP="003C4FF2">
      <w:pPr>
        <w:rPr>
          <w:lang w:val="fr-CA"/>
        </w:rPr>
      </w:pPr>
    </w:p>
    <w:p w14:paraId="06A1F298" w14:textId="77777777" w:rsidR="003C4FF2" w:rsidRPr="003C4FF2" w:rsidRDefault="003C4FF2" w:rsidP="003C4FF2">
      <w:pPr>
        <w:rPr>
          <w:lang w:val="fr-CA"/>
        </w:rPr>
      </w:pPr>
    </w:p>
    <w:p w14:paraId="0DE45A6F" w14:textId="77777777" w:rsidR="003C4FF2" w:rsidRPr="003C4FF2" w:rsidRDefault="003C4FF2" w:rsidP="003C4FF2">
      <w:pPr>
        <w:rPr>
          <w:lang w:val="fr-CA"/>
        </w:rPr>
      </w:pPr>
    </w:p>
    <w:p w14:paraId="0C6E040F" w14:textId="77777777" w:rsidR="003C4FF2" w:rsidRPr="003C4FF2" w:rsidRDefault="003C4FF2" w:rsidP="003C4FF2">
      <w:pPr>
        <w:rPr>
          <w:rFonts w:eastAsiaTheme="majorEastAsia" w:cstheme="minorHAnsi"/>
          <w:color w:val="008A97"/>
          <w:kern w:val="0"/>
          <w:sz w:val="28"/>
          <w:szCs w:val="28"/>
          <w:lang w:val="fr-CA"/>
        </w:rPr>
      </w:pPr>
      <w:r w:rsidRPr="003C4FF2">
        <w:rPr>
          <w:lang w:val="fr-CA"/>
        </w:rPr>
        <w:br w:type="page"/>
      </w:r>
    </w:p>
    <w:p w14:paraId="739E5B9C" w14:textId="77777777" w:rsidR="003C4FF2" w:rsidRPr="003C4FF2" w:rsidRDefault="003C4FF2" w:rsidP="003C4FF2">
      <w:pPr>
        <w:pStyle w:val="Heading1"/>
        <w:ind w:left="284"/>
        <w:rPr>
          <w:lang w:val="fr-CA"/>
        </w:rPr>
      </w:pPr>
      <w:r w:rsidRPr="003C4FF2">
        <w:rPr>
          <w:lang w:val="fr-CA"/>
        </w:rPr>
        <w:lastRenderedPageBreak/>
        <w:t xml:space="preserve"> À propos de ce rapport</w:t>
      </w:r>
    </w:p>
    <w:p w14:paraId="1D2D574D" w14:textId="77777777" w:rsidR="003C4FF2" w:rsidRPr="003C4FF2" w:rsidRDefault="003C4FF2" w:rsidP="003C4FF2">
      <w:pPr>
        <w:spacing w:after="0"/>
        <w:ind w:left="284"/>
        <w:jc w:val="both"/>
        <w:rPr>
          <w:lang w:val="fr-CA"/>
        </w:rPr>
      </w:pPr>
      <w:r w:rsidRPr="003C4FF2">
        <w:rPr>
          <w:lang w:val="fr-CA"/>
        </w:rPr>
        <w:t xml:space="preserve">Ce rapport a été préparé conformément à la </w:t>
      </w:r>
      <w:hyperlink r:id="rId9" w:history="1">
        <w:r w:rsidRPr="003C4FF2">
          <w:rPr>
            <w:rStyle w:val="Hyperlink"/>
            <w:i/>
            <w:iCs/>
            <w:lang w:val="fr-CA"/>
          </w:rPr>
          <w:t xml:space="preserve">Loi </w:t>
        </w:r>
      </w:hyperlink>
      <w:hyperlink r:id="rId10" w:history="1">
        <w:r w:rsidRPr="003C4FF2">
          <w:rPr>
            <w:rStyle w:val="Hyperlink"/>
            <w:i/>
            <w:iCs/>
            <w:lang w:val="fr-CA"/>
          </w:rPr>
          <w:t xml:space="preserve">sur la </w:t>
        </w:r>
      </w:hyperlink>
      <w:hyperlink r:id="rId11" w:history="1">
        <w:r w:rsidRPr="003C4FF2">
          <w:rPr>
            <w:rStyle w:val="Hyperlink"/>
            <w:i/>
            <w:iCs/>
            <w:lang w:val="fr-CA"/>
          </w:rPr>
          <w:t xml:space="preserve">lutte </w:t>
        </w:r>
      </w:hyperlink>
      <w:hyperlink r:id="rId12" w:history="1">
        <w:r w:rsidRPr="003C4FF2">
          <w:rPr>
            <w:rStyle w:val="Hyperlink"/>
            <w:i/>
            <w:iCs/>
            <w:lang w:val="fr-CA"/>
          </w:rPr>
          <w:t xml:space="preserve">contre le travail forcé et le travail des enfants dans les chaînes d’approvisionnement </w:t>
        </w:r>
      </w:hyperlink>
      <w:r w:rsidRPr="003C4FF2">
        <w:rPr>
          <w:lang w:val="fr-CA"/>
        </w:rPr>
        <w:t xml:space="preserve">(la </w:t>
      </w:r>
      <w:r w:rsidRPr="003C4FF2">
        <w:rPr>
          <w:i/>
          <w:lang w:val="fr-CA"/>
        </w:rPr>
        <w:t>Loi</w:t>
      </w:r>
      <w:r w:rsidRPr="003C4FF2">
        <w:rPr>
          <w:lang w:val="fr-CA"/>
        </w:rPr>
        <w:t xml:space="preserve">) </w:t>
      </w:r>
      <w:r w:rsidRPr="003C4FF2">
        <w:rPr>
          <w:iCs/>
          <w:lang w:val="fr-CA"/>
        </w:rPr>
        <w:t xml:space="preserve">et </w:t>
      </w:r>
      <w:r w:rsidRPr="003C4FF2">
        <w:rPr>
          <w:lang w:val="fr-CA"/>
        </w:rPr>
        <w:t xml:space="preserve">présente les mesures prises par l’Office de la commercialisation du poisson d’eau douce (OCPED, ou l’Office) au cours de l’exercice 2025, se terminant le 30 avril 2025 pour prévenir et réduire le risque de travail forcé ou de travail des enfants dans nos opérations et notre chaîne d’approvisionnement. L’OCPED reconnaît l’existence de risques de travail forcé et de travail des enfants (appelés esclavage moderne) et reconnaît que la compréhension et la gestion de ces risques nécessitent une collaboration avec nos fournisseurs, les pêcheurs, nos employés et d’autres parties prenantes externes. Lorsqu’ils sont utilisés dans ce rapport, les termes « travail forcé » et « travail des enfants » ont le sens qui leur est attribué par la </w:t>
      </w:r>
      <w:r w:rsidRPr="003C4FF2">
        <w:rPr>
          <w:i/>
          <w:lang w:val="fr-CA"/>
        </w:rPr>
        <w:t>Loi</w:t>
      </w:r>
      <w:r w:rsidRPr="003C4FF2">
        <w:rPr>
          <w:lang w:val="fr-CA"/>
        </w:rPr>
        <w:t>.</w:t>
      </w:r>
    </w:p>
    <w:p w14:paraId="6F7AE08A" w14:textId="77777777" w:rsidR="003C4FF2" w:rsidRPr="003C4FF2" w:rsidRDefault="003C4FF2" w:rsidP="003C4FF2">
      <w:pPr>
        <w:pStyle w:val="Heading1"/>
        <w:ind w:left="284"/>
        <w:rPr>
          <w:lang w:val="fr-CA"/>
        </w:rPr>
      </w:pPr>
      <w:r w:rsidRPr="003C4FF2">
        <w:rPr>
          <w:lang w:val="fr-CA"/>
        </w:rPr>
        <w:t xml:space="preserve"> Structure, activités et chaîne d’approvisionnement </w:t>
      </w:r>
    </w:p>
    <w:p w14:paraId="5804F77B" w14:textId="77777777" w:rsidR="003C4FF2" w:rsidRPr="003C4FF2" w:rsidRDefault="003C4FF2" w:rsidP="003C4FF2">
      <w:pPr>
        <w:spacing w:after="0"/>
        <w:ind w:hanging="142"/>
        <w:jc w:val="both"/>
        <w:rPr>
          <w:b/>
          <w:bCs/>
          <w:color w:val="1F3864" w:themeColor="accent1" w:themeShade="80"/>
          <w:sz w:val="24"/>
          <w:szCs w:val="24"/>
          <w:lang w:val="fr-CA"/>
        </w:rPr>
      </w:pPr>
    </w:p>
    <w:p w14:paraId="51971282" w14:textId="77777777" w:rsidR="003C4FF2" w:rsidRPr="003C4FF2" w:rsidRDefault="003C4FF2" w:rsidP="003C4FF2">
      <w:pPr>
        <w:pStyle w:val="Heading2"/>
        <w:ind w:left="284" w:right="0"/>
        <w:rPr>
          <w:lang w:val="fr-CA"/>
        </w:rPr>
      </w:pPr>
      <w:r w:rsidRPr="003C4FF2">
        <w:rPr>
          <w:lang w:val="fr-CA"/>
        </w:rPr>
        <w:t>2.1 Structure</w:t>
      </w:r>
    </w:p>
    <w:p w14:paraId="2BADE37D" w14:textId="77777777" w:rsidR="003C4FF2" w:rsidRPr="003C4FF2" w:rsidRDefault="003C4FF2" w:rsidP="003C4FF2">
      <w:pPr>
        <w:ind w:left="284"/>
        <w:jc w:val="both"/>
        <w:rPr>
          <w:rFonts w:ascii="Calibri" w:hAnsi="Calibri" w:cstheme="minorHAnsi"/>
          <w:b/>
          <w:bCs/>
          <w:lang w:val="fr-CA"/>
        </w:rPr>
      </w:pPr>
      <w:r w:rsidRPr="003C4FF2">
        <w:rPr>
          <w:rFonts w:ascii="Calibri" w:hAnsi="Calibri" w:cstheme="minorHAnsi"/>
          <w:shd w:val="clear" w:color="auto" w:fill="FFFFFF" w:themeFill="background1"/>
          <w:lang w:val="fr-CA"/>
        </w:rPr>
        <w:t xml:space="preserve">L’Office de commercialisation du poisson d’eau douce </w:t>
      </w:r>
      <w:r w:rsidRPr="003C4FF2">
        <w:rPr>
          <w:rFonts w:ascii="Calibri" w:hAnsi="Calibri" w:cstheme="minorHAnsi"/>
          <w:lang w:val="fr-CA"/>
        </w:rPr>
        <w:t xml:space="preserve">est une société d’État fédérale créée en 1969 en vertu de la </w:t>
      </w:r>
      <w:hyperlink r:id="rId13" w:history="1">
        <w:r w:rsidRPr="003C4FF2">
          <w:rPr>
            <w:rStyle w:val="Hyperlink"/>
            <w:rFonts w:ascii="Calibri" w:hAnsi="Calibri" w:cstheme="minorHAnsi"/>
            <w:i/>
            <w:lang w:val="fr-CA"/>
          </w:rPr>
          <w:t xml:space="preserve">Loi sur la commercialisation du poisson d’eau douce </w:t>
        </w:r>
      </w:hyperlink>
      <w:r w:rsidRPr="003C4FF2">
        <w:rPr>
          <w:rStyle w:val="Hyperlink"/>
          <w:rFonts w:ascii="Calibri" w:hAnsi="Calibri" w:cstheme="minorHAnsi"/>
          <w:i/>
          <w:color w:val="auto"/>
          <w:u w:val="none"/>
          <w:lang w:val="fr-CA"/>
        </w:rPr>
        <w:t>(LCPED)</w:t>
      </w:r>
      <w:r w:rsidRPr="003C4FF2">
        <w:rPr>
          <w:rFonts w:ascii="Calibri" w:hAnsi="Calibri" w:cstheme="minorHAnsi"/>
          <w:lang w:val="fr-CA"/>
        </w:rPr>
        <w:t xml:space="preserve">, aux fins de la commercialisation et du commerce du poisson, des produits du poisson et des sous-produits du poisson au Canada et à l’étranger. L’Office doit mener ses opérations de manière financièrement autonome, sans </w:t>
      </w:r>
      <w:r w:rsidRPr="003C4FF2">
        <w:rPr>
          <w:rStyle w:val="Strong"/>
          <w:rFonts w:ascii="Calibri" w:hAnsi="Calibri" w:cstheme="minorHAnsi"/>
          <w:b w:val="0"/>
          <w:bCs w:val="0"/>
          <w:lang w:val="fr-CA"/>
        </w:rPr>
        <w:t>crédits parlementaires</w:t>
      </w:r>
      <w:r w:rsidRPr="003C4FF2">
        <w:rPr>
          <w:rFonts w:ascii="Calibri" w:hAnsi="Calibri" w:cstheme="minorHAnsi"/>
          <w:b/>
          <w:bCs/>
          <w:lang w:val="fr-CA"/>
        </w:rPr>
        <w:t>.</w:t>
      </w:r>
    </w:p>
    <w:p w14:paraId="48FCF938" w14:textId="77777777" w:rsidR="003C4FF2" w:rsidRPr="003C4FF2" w:rsidRDefault="003C4FF2" w:rsidP="003C4FF2">
      <w:pPr>
        <w:spacing w:after="0"/>
        <w:ind w:hanging="142"/>
        <w:jc w:val="both"/>
        <w:rPr>
          <w:b/>
          <w:bCs/>
          <w:color w:val="1F3864" w:themeColor="accent1" w:themeShade="80"/>
          <w:sz w:val="24"/>
          <w:szCs w:val="24"/>
          <w:lang w:val="fr-CA"/>
        </w:rPr>
      </w:pPr>
    </w:p>
    <w:p w14:paraId="2BF1A5C6" w14:textId="77777777" w:rsidR="003C4FF2" w:rsidRPr="003C4FF2" w:rsidRDefault="003C4FF2" w:rsidP="003C4FF2">
      <w:pPr>
        <w:pStyle w:val="Heading2"/>
        <w:ind w:left="284" w:right="0"/>
        <w:rPr>
          <w:lang w:val="fr-CA"/>
        </w:rPr>
      </w:pPr>
      <w:r w:rsidRPr="003C4FF2">
        <w:rPr>
          <w:lang w:val="fr-CA"/>
        </w:rPr>
        <w:t>2.2 Activités et chaine d’approvisionnement</w:t>
      </w:r>
    </w:p>
    <w:p w14:paraId="70715AE5" w14:textId="77777777" w:rsidR="003C4FF2" w:rsidRPr="003C4FF2" w:rsidRDefault="003C4FF2" w:rsidP="003C4FF2">
      <w:pPr>
        <w:spacing w:after="120"/>
        <w:ind w:left="284"/>
        <w:jc w:val="both"/>
        <w:rPr>
          <w:rFonts w:ascii="Calibri" w:hAnsi="Calibri" w:cs="AGaramondPro-Regular"/>
          <w:color w:val="333333"/>
          <w:szCs w:val="20"/>
          <w:lang w:val="fr-CA"/>
        </w:rPr>
      </w:pPr>
      <w:r w:rsidRPr="003C4FF2">
        <w:rPr>
          <w:rFonts w:ascii="Calibri" w:hAnsi="Calibri" w:cs="AGaramondPro-Regular"/>
          <w:color w:val="333333"/>
          <w:szCs w:val="20"/>
          <w:lang w:val="fr-CA"/>
        </w:rPr>
        <w:t xml:space="preserve">L’OCPED achète tout le poisson pris légalement et offert en vente dans les régions de son mandat, qui englobe l’Alberta et les Territoires du Nord-Ouest. La participation de ces autorités a été établie par des ententes avec le gouvernement du Canada. L’Office achète aussi du poisson de l’extérieur des régions de son mandat par des contrats conclus avec des pêcheurs commerciaux individuels ou des coopératives de pêcheurs aux États-Unis, en Ontario, en Saskatchewan et au Manitoba. L’OCPED atteint ses fins en mettant l’accent sur des activités spécifiques établies dans la </w:t>
      </w:r>
      <w:r w:rsidRPr="003C4FF2">
        <w:rPr>
          <w:rFonts w:ascii="Calibri" w:hAnsi="Calibri" w:cs="AGaramondPro-Regular"/>
          <w:i/>
          <w:color w:val="333333"/>
          <w:szCs w:val="20"/>
          <w:lang w:val="fr-CA"/>
        </w:rPr>
        <w:t>LCPED</w:t>
      </w:r>
      <w:r w:rsidRPr="003C4FF2">
        <w:rPr>
          <w:rFonts w:ascii="Calibri" w:hAnsi="Calibri" w:cs="AGaramondPro-Regular"/>
          <w:color w:val="333333"/>
          <w:szCs w:val="20"/>
          <w:lang w:val="fr-CA"/>
        </w:rPr>
        <w:t xml:space="preserve"> et des priorités établies par le gouvernement du Canada, qui sont : </w:t>
      </w:r>
    </w:p>
    <w:p w14:paraId="47B8E559" w14:textId="77777777" w:rsidR="003C4FF2" w:rsidRPr="003C4FF2" w:rsidRDefault="003C4FF2" w:rsidP="003C4FF2">
      <w:pPr>
        <w:pStyle w:val="ListParagraph"/>
        <w:numPr>
          <w:ilvl w:val="0"/>
          <w:numId w:val="1"/>
        </w:numPr>
        <w:spacing w:after="0"/>
        <w:ind w:left="993"/>
        <w:jc w:val="both"/>
        <w:rPr>
          <w:rFonts w:ascii="Calibri" w:hAnsi="Calibri" w:cs="AGaramondPro-Regular"/>
          <w:color w:val="333333"/>
          <w:szCs w:val="20"/>
          <w:lang w:val="fr-CA"/>
        </w:rPr>
      </w:pPr>
      <w:proofErr w:type="gramStart"/>
      <w:r w:rsidRPr="003C4FF2">
        <w:rPr>
          <w:rFonts w:ascii="Calibri" w:hAnsi="Calibri" w:cs="AGaramondPro-Regular"/>
          <w:color w:val="333333"/>
          <w:szCs w:val="20"/>
          <w:lang w:val="fr-CA"/>
        </w:rPr>
        <w:t>de</w:t>
      </w:r>
      <w:proofErr w:type="gramEnd"/>
      <w:r w:rsidRPr="003C4FF2">
        <w:rPr>
          <w:rFonts w:ascii="Calibri" w:hAnsi="Calibri" w:cs="AGaramondPro-Regular"/>
          <w:color w:val="333333"/>
          <w:szCs w:val="20"/>
          <w:lang w:val="fr-CA"/>
        </w:rPr>
        <w:t xml:space="preserve"> commercialiser le poisson de façon ordonnée; </w:t>
      </w:r>
    </w:p>
    <w:p w14:paraId="1B435F60" w14:textId="77777777" w:rsidR="003C4FF2" w:rsidRPr="003C4FF2" w:rsidRDefault="003C4FF2" w:rsidP="003C4FF2">
      <w:pPr>
        <w:pStyle w:val="ListParagraph"/>
        <w:numPr>
          <w:ilvl w:val="0"/>
          <w:numId w:val="1"/>
        </w:numPr>
        <w:spacing w:after="0"/>
        <w:ind w:left="993"/>
        <w:jc w:val="both"/>
        <w:rPr>
          <w:rFonts w:ascii="Calibri" w:hAnsi="Calibri" w:cs="AGaramondPro-Regular"/>
          <w:color w:val="333333"/>
          <w:szCs w:val="20"/>
          <w:lang w:val="fr-CA"/>
        </w:rPr>
      </w:pPr>
      <w:proofErr w:type="gramStart"/>
      <w:r w:rsidRPr="003C4FF2">
        <w:rPr>
          <w:rFonts w:ascii="Calibri" w:hAnsi="Calibri" w:cs="AGaramondPro-Regular"/>
          <w:color w:val="333333"/>
          <w:szCs w:val="20"/>
          <w:lang w:val="fr-CA"/>
        </w:rPr>
        <w:t>de</w:t>
      </w:r>
      <w:proofErr w:type="gramEnd"/>
      <w:r w:rsidRPr="003C4FF2">
        <w:rPr>
          <w:rFonts w:ascii="Calibri" w:hAnsi="Calibri" w:cs="AGaramondPro-Regular"/>
          <w:color w:val="333333"/>
          <w:szCs w:val="20"/>
          <w:lang w:val="fr-CA"/>
        </w:rPr>
        <w:t xml:space="preserve"> faire la promotion des marchés internationaux pour le poisson;</w:t>
      </w:r>
    </w:p>
    <w:p w14:paraId="02AEA9C4" w14:textId="77777777" w:rsidR="003C4FF2" w:rsidRPr="003C4FF2" w:rsidRDefault="003C4FF2" w:rsidP="003C4FF2">
      <w:pPr>
        <w:pStyle w:val="ListParagraph"/>
        <w:numPr>
          <w:ilvl w:val="0"/>
          <w:numId w:val="1"/>
        </w:numPr>
        <w:spacing w:after="0"/>
        <w:ind w:left="993"/>
        <w:jc w:val="both"/>
        <w:rPr>
          <w:rFonts w:ascii="Calibri" w:hAnsi="Calibri" w:cs="AGaramondPro-Regular"/>
          <w:color w:val="333333"/>
          <w:szCs w:val="20"/>
          <w:lang w:val="fr-CA"/>
        </w:rPr>
      </w:pPr>
      <w:proofErr w:type="gramStart"/>
      <w:r w:rsidRPr="003C4FF2">
        <w:rPr>
          <w:rFonts w:ascii="Calibri" w:hAnsi="Calibri" w:cs="AGaramondPro-Regular"/>
          <w:color w:val="333333"/>
          <w:szCs w:val="20"/>
          <w:lang w:val="fr-CA"/>
        </w:rPr>
        <w:t>d’augmenter</w:t>
      </w:r>
      <w:proofErr w:type="gramEnd"/>
      <w:r w:rsidRPr="003C4FF2">
        <w:rPr>
          <w:rFonts w:ascii="Calibri" w:hAnsi="Calibri" w:cs="AGaramondPro-Regular"/>
          <w:color w:val="333333"/>
          <w:szCs w:val="20"/>
          <w:lang w:val="fr-CA"/>
        </w:rPr>
        <w:t xml:space="preserve"> la commercialisation interprovinciale et d’exportation du poisson; </w:t>
      </w:r>
    </w:p>
    <w:p w14:paraId="01B3670D" w14:textId="77777777" w:rsidR="003C4FF2" w:rsidRPr="003C4FF2" w:rsidRDefault="003C4FF2" w:rsidP="003C4FF2">
      <w:pPr>
        <w:pStyle w:val="ListParagraph"/>
        <w:numPr>
          <w:ilvl w:val="0"/>
          <w:numId w:val="1"/>
        </w:numPr>
        <w:spacing w:after="0"/>
        <w:ind w:left="993"/>
        <w:jc w:val="both"/>
        <w:rPr>
          <w:rFonts w:ascii="Calibri" w:hAnsi="Calibri" w:cs="AGaramondPro-Regular"/>
          <w:color w:val="333333"/>
          <w:szCs w:val="20"/>
          <w:lang w:val="fr-CA"/>
        </w:rPr>
      </w:pPr>
      <w:proofErr w:type="gramStart"/>
      <w:r w:rsidRPr="003C4FF2">
        <w:rPr>
          <w:rFonts w:ascii="Calibri" w:hAnsi="Calibri" w:cs="AGaramondPro-Regular"/>
          <w:color w:val="333333"/>
          <w:szCs w:val="20"/>
          <w:lang w:val="fr-CA"/>
        </w:rPr>
        <w:t>d’augmenter</w:t>
      </w:r>
      <w:proofErr w:type="gramEnd"/>
      <w:r w:rsidRPr="003C4FF2">
        <w:rPr>
          <w:rFonts w:ascii="Calibri" w:hAnsi="Calibri" w:cs="AGaramondPro-Regular"/>
          <w:color w:val="333333"/>
          <w:szCs w:val="20"/>
          <w:lang w:val="fr-CA"/>
        </w:rPr>
        <w:t xml:space="preserve"> les bénéfices versés aux pêcheurs commerciaux. </w:t>
      </w:r>
    </w:p>
    <w:p w14:paraId="5A84FC98" w14:textId="77777777" w:rsidR="003C4FF2" w:rsidRPr="003C4FF2" w:rsidRDefault="003C4FF2" w:rsidP="003C4FF2">
      <w:pPr>
        <w:jc w:val="both"/>
        <w:rPr>
          <w:rFonts w:cstheme="minorHAnsi"/>
          <w:lang w:val="fr-CA"/>
        </w:rPr>
      </w:pPr>
    </w:p>
    <w:p w14:paraId="3ADB3DC3" w14:textId="77777777" w:rsidR="003C4FF2" w:rsidRPr="003C4FF2" w:rsidRDefault="003C4FF2" w:rsidP="003C4FF2">
      <w:pPr>
        <w:ind w:left="284"/>
        <w:jc w:val="both"/>
        <w:rPr>
          <w:rFonts w:cstheme="minorHAnsi"/>
          <w:lang w:val="fr-CA"/>
        </w:rPr>
      </w:pPr>
      <w:r w:rsidRPr="003C4FF2">
        <w:rPr>
          <w:rFonts w:cstheme="minorHAnsi"/>
          <w:lang w:val="fr-CA"/>
        </w:rPr>
        <w:t>Dans sa chaîne d’approvisionnement, l’OCPED vend des produits de poisson transformés créés à partir de matières premières fournies par les pêcheurs. Pour soutenir la transformation du poisson en produits finis, l’OCPED fait également affaire avec des prestataires de services et des fournisseurs internationaux, nationaux et régionaux. L’OCPED s’approvisionne en poisson, en fournitures de transformation et en services principalement auprès de sources nationales et secondairement auprès des États-Unis. Au cours de l’exercice 2025, 81 % des dépenses d’approvisionnement de l’OCPED ont été effectuées auprès de fournisseurs canadiens.</w:t>
      </w:r>
    </w:p>
    <w:p w14:paraId="07DD3F47" w14:textId="77777777" w:rsidR="003C4FF2" w:rsidRPr="003C4FF2" w:rsidRDefault="003C4FF2" w:rsidP="003C4FF2">
      <w:pPr>
        <w:spacing w:after="0"/>
        <w:ind w:left="284"/>
        <w:jc w:val="both"/>
        <w:rPr>
          <w:lang w:val="fr-CA"/>
        </w:rPr>
      </w:pPr>
      <w:r w:rsidRPr="003C4FF2">
        <w:rPr>
          <w:lang w:val="fr-CA"/>
        </w:rPr>
        <w:t>Nos principaux fournisseurs proposent une large gamme de biens et de services, notamment :</w:t>
      </w:r>
    </w:p>
    <w:p w14:paraId="4DD14DAD" w14:textId="77777777" w:rsidR="003C4FF2" w:rsidRPr="003C4FF2" w:rsidRDefault="003C4FF2" w:rsidP="003C4FF2">
      <w:pPr>
        <w:spacing w:after="0"/>
        <w:ind w:left="709"/>
        <w:jc w:val="both"/>
        <w:rPr>
          <w:lang w:val="fr-CA"/>
        </w:rPr>
      </w:pPr>
      <w:r w:rsidRPr="003C4FF2">
        <w:rPr>
          <w:lang w:val="fr-CA"/>
        </w:rPr>
        <w:t>• poissons sauvages pris dans les lacs d’eau douce;</w:t>
      </w:r>
    </w:p>
    <w:p w14:paraId="719DB93D" w14:textId="77777777" w:rsidR="003C4FF2" w:rsidRPr="003C4FF2" w:rsidRDefault="003C4FF2" w:rsidP="003C4FF2">
      <w:pPr>
        <w:spacing w:after="0"/>
        <w:ind w:left="709"/>
        <w:jc w:val="both"/>
        <w:rPr>
          <w:lang w:val="fr-CA"/>
        </w:rPr>
      </w:pPr>
      <w:r w:rsidRPr="003C4FF2">
        <w:rPr>
          <w:lang w:val="fr-CA"/>
        </w:rPr>
        <w:lastRenderedPageBreak/>
        <w:t>• équipements et machines de transformation des aliments;</w:t>
      </w:r>
    </w:p>
    <w:p w14:paraId="4AD85FBB" w14:textId="77777777" w:rsidR="003C4FF2" w:rsidRPr="003C4FF2" w:rsidRDefault="003C4FF2" w:rsidP="003C4FF2">
      <w:pPr>
        <w:spacing w:after="0"/>
        <w:ind w:left="709"/>
        <w:jc w:val="both"/>
        <w:rPr>
          <w:lang w:val="fr-CA"/>
        </w:rPr>
      </w:pPr>
      <w:r w:rsidRPr="003C4FF2">
        <w:rPr>
          <w:lang w:val="fr-CA"/>
        </w:rPr>
        <w:t>• infrastructures et entretien des bâtiments;</w:t>
      </w:r>
    </w:p>
    <w:p w14:paraId="69DD6B76" w14:textId="77777777" w:rsidR="003C4FF2" w:rsidRPr="003C4FF2" w:rsidRDefault="003C4FF2" w:rsidP="003C4FF2">
      <w:pPr>
        <w:spacing w:after="0"/>
        <w:ind w:left="709"/>
        <w:jc w:val="both"/>
        <w:rPr>
          <w:lang w:val="fr-CA"/>
        </w:rPr>
      </w:pPr>
      <w:r w:rsidRPr="003C4FF2">
        <w:rPr>
          <w:lang w:val="fr-CA"/>
        </w:rPr>
        <w:t>• produits et services informatiques et technologiques;</w:t>
      </w:r>
    </w:p>
    <w:p w14:paraId="6E708899" w14:textId="77777777" w:rsidR="003C4FF2" w:rsidRPr="003C4FF2" w:rsidRDefault="003C4FF2" w:rsidP="003C4FF2">
      <w:pPr>
        <w:spacing w:after="0"/>
        <w:ind w:left="709"/>
        <w:rPr>
          <w:lang w:val="fr-CA"/>
        </w:rPr>
      </w:pPr>
      <w:r w:rsidRPr="003C4FF2">
        <w:rPr>
          <w:lang w:val="fr-CA"/>
        </w:rPr>
        <w:t>• services opérationnels (c.-à-d. conseils, services juridiques, ingénierie, entreposage frigorifique); et</w:t>
      </w:r>
    </w:p>
    <w:p w14:paraId="6E3543A6" w14:textId="77777777" w:rsidR="003C4FF2" w:rsidRPr="003C4FF2" w:rsidRDefault="003C4FF2" w:rsidP="003C4FF2">
      <w:pPr>
        <w:ind w:left="709"/>
        <w:jc w:val="both"/>
        <w:rPr>
          <w:rFonts w:cstheme="minorHAnsi"/>
          <w:lang w:val="fr-CA"/>
        </w:rPr>
      </w:pPr>
      <w:r w:rsidRPr="003C4FF2">
        <w:rPr>
          <w:lang w:val="fr-CA"/>
        </w:rPr>
        <w:t>• transport et logistique.</w:t>
      </w:r>
      <w:r w:rsidRPr="003C4FF2">
        <w:rPr>
          <w:rFonts w:cstheme="minorHAnsi"/>
          <w:lang w:val="fr-CA"/>
        </w:rPr>
        <w:t xml:space="preserve"> </w:t>
      </w:r>
    </w:p>
    <w:p w14:paraId="0C713111" w14:textId="77777777" w:rsidR="003C4FF2" w:rsidRPr="003C4FF2" w:rsidRDefault="003C4FF2" w:rsidP="003C4FF2">
      <w:pPr>
        <w:pStyle w:val="Heading1"/>
        <w:ind w:left="284"/>
        <w:rPr>
          <w:lang w:val="fr-CA"/>
        </w:rPr>
      </w:pPr>
      <w:r w:rsidRPr="003C4FF2">
        <w:rPr>
          <w:lang w:val="fr-CA"/>
        </w:rPr>
        <w:t>Politiques, processus et diligence raisonnable</w:t>
      </w:r>
    </w:p>
    <w:p w14:paraId="6D741318" w14:textId="77777777" w:rsidR="003C4FF2" w:rsidRPr="003C4FF2" w:rsidRDefault="003C4FF2" w:rsidP="003C4FF2">
      <w:pPr>
        <w:autoSpaceDE w:val="0"/>
        <w:autoSpaceDN w:val="0"/>
        <w:adjustRightInd w:val="0"/>
        <w:spacing w:after="0"/>
        <w:ind w:left="284"/>
        <w:jc w:val="both"/>
        <w:rPr>
          <w:rFonts w:ascii="Calibri" w:hAnsi="Calibri" w:cs="Calibri"/>
          <w:lang w:val="fr-CA"/>
        </w:rPr>
      </w:pPr>
      <w:r w:rsidRPr="003C4FF2">
        <w:rPr>
          <w:rFonts w:ascii="Calibri" w:hAnsi="Calibri" w:cs="Calibri"/>
          <w:lang w:val="fr-CA"/>
        </w:rPr>
        <w:t>L’OCPED s’engage à respecter et à promouvoir les normes d’éthique et d’intégrité les plus élevées dans toutes ses relations avec ses employés, clients, fournisseurs, pêcheurs et les communautés dans lesquelles nous vivons et travaillons. L’équité, le respect et l’intégrité sont des valeurs fondamentales pour l’OCPED. L’approche de l’OCPED à l’égard de l’esclavage moderne est soutenue par son code de conduite et définit le processus de signalement des violations et adhère à l’approche de l’Office en matière de droits de la personne.</w:t>
      </w:r>
    </w:p>
    <w:p w14:paraId="190D6938" w14:textId="77777777" w:rsidR="003C4FF2" w:rsidRPr="003C4FF2" w:rsidRDefault="003C4FF2" w:rsidP="003C4FF2">
      <w:pPr>
        <w:spacing w:after="0"/>
        <w:ind w:left="142"/>
        <w:jc w:val="both"/>
        <w:rPr>
          <w:color w:val="1F3864" w:themeColor="accent1" w:themeShade="80"/>
          <w:lang w:val="fr-CA"/>
        </w:rPr>
      </w:pPr>
    </w:p>
    <w:p w14:paraId="328A5998" w14:textId="77777777" w:rsidR="003C4FF2" w:rsidRPr="003C4FF2" w:rsidRDefault="003C4FF2" w:rsidP="003C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Calibri" w:hAnsi="Calibri" w:cs="Courier"/>
          <w:szCs w:val="28"/>
          <w:lang w:val="fr-CA" w:eastAsia="fr-FR"/>
        </w:rPr>
      </w:pPr>
      <w:proofErr w:type="gramStart"/>
      <w:r w:rsidRPr="003C4FF2">
        <w:rPr>
          <w:rFonts w:ascii="Calibri" w:hAnsi="Calibri" w:cs="Courier"/>
          <w:lang w:val="fr-CA" w:eastAsia="fr-FR"/>
        </w:rPr>
        <w:t>L'OCPED  a</w:t>
      </w:r>
      <w:proofErr w:type="gramEnd"/>
      <w:r w:rsidRPr="003C4FF2">
        <w:rPr>
          <w:rFonts w:ascii="Calibri" w:hAnsi="Calibri" w:cs="Courier"/>
          <w:lang w:val="fr-CA" w:eastAsia="fr-FR"/>
        </w:rPr>
        <w:t xml:space="preserve"> en place un processus pour recevoir et traiter la rétroaction et surveillera et évaluera régulièrement la rétroaction pour les intégrer dans les futurs rapports lorsque cela est possible.</w:t>
      </w:r>
      <w:r w:rsidRPr="003C4FF2">
        <w:rPr>
          <w:rFonts w:ascii="Calibri" w:hAnsi="Calibri" w:cs="Courier"/>
          <w:szCs w:val="28"/>
          <w:lang w:val="fr-CA" w:eastAsia="fr-FR"/>
        </w:rPr>
        <w:t xml:space="preserve"> </w:t>
      </w:r>
      <w:r w:rsidRPr="003C4FF2">
        <w:rPr>
          <w:rFonts w:ascii="Calibri" w:hAnsi="Calibri"/>
          <w:lang w:val="fr-CA"/>
        </w:rPr>
        <w:t>Si vous avez des questions, des commentaires ou des suggestions, veuillez nous contacter :</w:t>
      </w:r>
    </w:p>
    <w:p w14:paraId="009BE44E" w14:textId="77777777" w:rsidR="003C4FF2" w:rsidRPr="003C4FF2" w:rsidRDefault="003C4FF2" w:rsidP="003C4FF2">
      <w:pPr>
        <w:spacing w:after="0"/>
        <w:ind w:left="284"/>
        <w:rPr>
          <w:rFonts w:ascii="Calibri" w:hAnsi="Calibri"/>
          <w:lang w:val="fr-CA"/>
        </w:rPr>
      </w:pPr>
      <w:r w:rsidRPr="003C4FF2">
        <w:rPr>
          <w:rFonts w:ascii="Calibri" w:hAnsi="Calibri"/>
          <w:lang w:val="fr-CA"/>
        </w:rPr>
        <w:t>ATTN :</w:t>
      </w:r>
      <w:r w:rsidRPr="003C4FF2">
        <w:rPr>
          <w:rFonts w:ascii="Calibri" w:hAnsi="Calibri"/>
          <w:lang w:val="fr-CA"/>
        </w:rPr>
        <w:tab/>
        <w:t>Ressources humaines</w:t>
      </w:r>
    </w:p>
    <w:p w14:paraId="77922DC5" w14:textId="77777777" w:rsidR="003C4FF2" w:rsidRPr="003C4FF2" w:rsidRDefault="003C4FF2" w:rsidP="003C4FF2">
      <w:pPr>
        <w:spacing w:after="0"/>
        <w:ind w:left="284"/>
        <w:rPr>
          <w:rFonts w:ascii="Calibri" w:hAnsi="Calibri"/>
          <w:lang w:val="fr-CA"/>
        </w:rPr>
      </w:pPr>
      <w:r w:rsidRPr="003C4FF2">
        <w:rPr>
          <w:rFonts w:ascii="Calibri" w:hAnsi="Calibri"/>
          <w:lang w:val="fr-CA"/>
        </w:rPr>
        <w:t xml:space="preserve">Adresse : </w:t>
      </w:r>
      <w:r w:rsidRPr="003C4FF2">
        <w:rPr>
          <w:rFonts w:ascii="Calibri" w:hAnsi="Calibri"/>
          <w:lang w:val="fr-CA"/>
        </w:rPr>
        <w:tab/>
        <w:t xml:space="preserve">Office de commercialisation du poisson d’eau douce, 1199, chemin Plessis, </w:t>
      </w:r>
      <w:r w:rsidRPr="003C4FF2">
        <w:rPr>
          <w:rFonts w:ascii="Calibri" w:hAnsi="Calibri"/>
          <w:lang w:val="fr-CA"/>
        </w:rPr>
        <w:br/>
      </w:r>
      <w:r w:rsidRPr="003C4FF2">
        <w:rPr>
          <w:rFonts w:ascii="Calibri" w:hAnsi="Calibri"/>
          <w:lang w:val="fr-CA"/>
        </w:rPr>
        <w:tab/>
      </w:r>
      <w:r w:rsidRPr="003C4FF2">
        <w:rPr>
          <w:rFonts w:ascii="Calibri" w:hAnsi="Calibri"/>
          <w:lang w:val="fr-CA"/>
        </w:rPr>
        <w:tab/>
        <w:t>Winnipeg (Manitoba) R2C 3L4</w:t>
      </w:r>
    </w:p>
    <w:p w14:paraId="3DF2C991" w14:textId="77777777" w:rsidR="003C4FF2" w:rsidRPr="003C4FF2" w:rsidRDefault="003C4FF2" w:rsidP="003C4FF2">
      <w:pPr>
        <w:spacing w:after="0"/>
        <w:ind w:left="284"/>
        <w:rPr>
          <w:rFonts w:ascii="Calibri" w:hAnsi="Calibri"/>
          <w:lang w:val="fr-CA"/>
        </w:rPr>
      </w:pPr>
      <w:r w:rsidRPr="003C4FF2">
        <w:rPr>
          <w:rFonts w:ascii="Calibri" w:hAnsi="Calibri"/>
          <w:lang w:val="fr-CA"/>
        </w:rPr>
        <w:t xml:space="preserve">Téléphone : </w:t>
      </w:r>
      <w:r w:rsidRPr="003C4FF2">
        <w:rPr>
          <w:rFonts w:ascii="Calibri" w:hAnsi="Calibri"/>
          <w:lang w:val="fr-CA"/>
        </w:rPr>
        <w:tab/>
        <w:t>(204) 983-6601</w:t>
      </w:r>
    </w:p>
    <w:p w14:paraId="7C67683C" w14:textId="4FDFE5AF" w:rsidR="00F157FD" w:rsidRDefault="003C4FF2" w:rsidP="00F157FD">
      <w:pPr>
        <w:spacing w:after="0"/>
        <w:ind w:left="284"/>
        <w:rPr>
          <w:lang w:val="fr-FR"/>
        </w:rPr>
      </w:pPr>
      <w:r w:rsidRPr="003C4FF2">
        <w:rPr>
          <w:rFonts w:ascii="Calibri" w:hAnsi="Calibri"/>
          <w:lang w:val="fr-CA"/>
        </w:rPr>
        <w:t xml:space="preserve">Courriel : </w:t>
      </w:r>
      <w:r w:rsidRPr="003C4FF2">
        <w:rPr>
          <w:rFonts w:ascii="Calibri" w:hAnsi="Calibri"/>
          <w:lang w:val="fr-CA"/>
        </w:rPr>
        <w:tab/>
      </w:r>
      <w:hyperlink r:id="rId14" w:history="1">
        <w:r w:rsidR="00F157FD" w:rsidRPr="005327EB">
          <w:rPr>
            <w:rStyle w:val="Hyperlink"/>
            <w:lang w:val="fr-FR"/>
          </w:rPr>
          <w:t>human.resources-ressources.humaines@f</w:t>
        </w:r>
        <w:r w:rsidR="00F157FD" w:rsidRPr="005327EB">
          <w:rPr>
            <w:rStyle w:val="Hyperlink"/>
            <w:lang w:val="fr-FR"/>
          </w:rPr>
          <w:t>r</w:t>
        </w:r>
        <w:r w:rsidR="00F157FD" w:rsidRPr="005327EB">
          <w:rPr>
            <w:rStyle w:val="Hyperlink"/>
            <w:lang w:val="fr-FR"/>
          </w:rPr>
          <w:t>eshwaterfish.com</w:t>
        </w:r>
      </w:hyperlink>
    </w:p>
    <w:p w14:paraId="6714F80E" w14:textId="77777777" w:rsidR="00F157FD" w:rsidRPr="00F157FD" w:rsidRDefault="00F157FD" w:rsidP="00F157FD">
      <w:pPr>
        <w:spacing w:after="0"/>
        <w:ind w:left="284"/>
        <w:rPr>
          <w:lang w:val="fr-FR"/>
        </w:rPr>
      </w:pPr>
    </w:p>
    <w:p w14:paraId="6FDB8393" w14:textId="77777777" w:rsidR="003C4FF2" w:rsidRPr="003C4FF2" w:rsidRDefault="003C4FF2" w:rsidP="0087521C">
      <w:pPr>
        <w:spacing w:after="0"/>
        <w:jc w:val="both"/>
        <w:rPr>
          <w:lang w:val="fr-CA"/>
        </w:rPr>
      </w:pPr>
    </w:p>
    <w:p w14:paraId="5353873A" w14:textId="77777777" w:rsidR="003C4FF2" w:rsidRPr="003C4FF2" w:rsidRDefault="003C4FF2" w:rsidP="003C4FF2">
      <w:pPr>
        <w:spacing w:after="60"/>
        <w:ind w:left="284"/>
        <w:rPr>
          <w:rFonts w:ascii="Calibri" w:hAnsi="Calibri"/>
          <w:lang w:val="fr-CA"/>
        </w:rPr>
      </w:pPr>
      <w:r w:rsidRPr="003C4FF2">
        <w:rPr>
          <w:rFonts w:ascii="Calibri" w:hAnsi="Calibri"/>
          <w:lang w:val="fr-CA"/>
        </w:rPr>
        <w:t>Processus de rétroaction :</w:t>
      </w:r>
    </w:p>
    <w:p w14:paraId="46779A68" w14:textId="77777777" w:rsidR="003C4FF2" w:rsidRPr="003C4FF2" w:rsidRDefault="003C4FF2" w:rsidP="003C4FF2">
      <w:pPr>
        <w:spacing w:after="60"/>
        <w:ind w:left="284"/>
        <w:rPr>
          <w:rFonts w:ascii="Calibri" w:hAnsi="Calibri"/>
          <w:lang w:val="fr-CA"/>
        </w:rPr>
      </w:pPr>
      <w:r w:rsidRPr="003C4FF2">
        <w:rPr>
          <w:rFonts w:ascii="Calibri" w:hAnsi="Calibri"/>
          <w:lang w:val="fr-CA"/>
        </w:rPr>
        <w:t>1. La rétroaction sera reçue par téléphone (et transcrite dans un document Word accessible), par courrier (et numérisée au format PDF) ou par courrier électronique.</w:t>
      </w:r>
    </w:p>
    <w:p w14:paraId="756B558E" w14:textId="77777777" w:rsidR="003C4FF2" w:rsidRPr="003C4FF2" w:rsidRDefault="003C4FF2" w:rsidP="003C4FF2">
      <w:pPr>
        <w:spacing w:after="60"/>
        <w:ind w:left="284"/>
        <w:rPr>
          <w:rFonts w:ascii="Calibri" w:hAnsi="Calibri"/>
          <w:lang w:val="fr-CA"/>
        </w:rPr>
      </w:pPr>
      <w:r w:rsidRPr="003C4FF2">
        <w:rPr>
          <w:rFonts w:ascii="Calibri" w:hAnsi="Calibri"/>
          <w:lang w:val="fr-CA"/>
        </w:rPr>
        <w:t>2. Toutes les rétroactions seront enregistrées dans un dossier électronique désigné.</w:t>
      </w:r>
    </w:p>
    <w:p w14:paraId="31BE1742" w14:textId="77777777" w:rsidR="003C4FF2" w:rsidRPr="003C4FF2" w:rsidRDefault="003C4FF2" w:rsidP="003C4FF2">
      <w:pPr>
        <w:ind w:left="284"/>
        <w:rPr>
          <w:rFonts w:ascii="Calibri" w:hAnsi="Calibri"/>
          <w:lang w:val="fr-CA"/>
        </w:rPr>
      </w:pPr>
      <w:r w:rsidRPr="003C4FF2">
        <w:rPr>
          <w:rFonts w:ascii="Calibri" w:hAnsi="Calibri"/>
          <w:lang w:val="fr-CA"/>
        </w:rPr>
        <w:t>3. L’expéditeur de tout commentaire sera informé de sa réception et sa rétroaction sera examinée.</w:t>
      </w:r>
    </w:p>
    <w:p w14:paraId="648EFD64" w14:textId="77777777" w:rsidR="003C4FF2" w:rsidRPr="003C4FF2" w:rsidRDefault="003C4FF2" w:rsidP="003C4FF2">
      <w:pPr>
        <w:spacing w:after="0"/>
        <w:jc w:val="both"/>
        <w:rPr>
          <w:b/>
          <w:bCs/>
          <w:color w:val="1F3864" w:themeColor="accent1" w:themeShade="80"/>
          <w:sz w:val="24"/>
          <w:szCs w:val="24"/>
          <w:lang w:val="fr-CA"/>
        </w:rPr>
      </w:pPr>
    </w:p>
    <w:p w14:paraId="5C9BCAEE" w14:textId="77777777" w:rsidR="003C4FF2" w:rsidRPr="003C4FF2" w:rsidRDefault="003C4FF2" w:rsidP="003C4FF2">
      <w:pPr>
        <w:pStyle w:val="Heading2"/>
        <w:ind w:left="284" w:right="0"/>
        <w:rPr>
          <w:lang w:val="fr-CA"/>
        </w:rPr>
      </w:pPr>
      <w:r w:rsidRPr="003C4FF2">
        <w:rPr>
          <w:lang w:val="fr-CA"/>
        </w:rPr>
        <w:t>3.1 Gouvernance</w:t>
      </w:r>
    </w:p>
    <w:p w14:paraId="5FC4F1FD" w14:textId="77777777" w:rsidR="003C4FF2" w:rsidRPr="003C4FF2" w:rsidRDefault="003C4FF2" w:rsidP="003C4F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Calibri" w:hAnsi="Calibri" w:cs="Courier"/>
          <w:szCs w:val="28"/>
          <w:lang w:val="fr-CA" w:eastAsia="fr-FR"/>
        </w:rPr>
      </w:pPr>
      <w:r w:rsidRPr="003C4FF2">
        <w:rPr>
          <w:rFonts w:ascii="Calibri" w:hAnsi="Calibri"/>
          <w:lang w:val="fr-CA"/>
        </w:rPr>
        <w:t xml:space="preserve">L’OCPED s’est engagé à maintenir un cadre de gouvernance robuste qui guide notre leadership et renforce la réputation et la valeur que nous avons gagnées dans les marchés mondiaux et domestiques. </w:t>
      </w:r>
      <w:r w:rsidRPr="003C4FF2">
        <w:rPr>
          <w:rFonts w:ascii="Calibri" w:hAnsi="Calibri" w:cs="Courier"/>
          <w:lang w:val="fr-CA" w:eastAsia="fr-FR"/>
        </w:rPr>
        <w:t>Nous sommes engagés à soutenir les principes conçus pour lutter contre l’esclavage moderne, à remplir notre mandat légal et à maintenir le rôle de l’Office dans les pêches en eau douce de l’Ouest et du Nord du Canada pour le gouvernement du Canada.</w:t>
      </w:r>
    </w:p>
    <w:p w14:paraId="21845579" w14:textId="77777777" w:rsidR="003C4FF2" w:rsidRPr="003C4FF2" w:rsidRDefault="003C4FF2" w:rsidP="003C4FF2">
      <w:pPr>
        <w:pStyle w:val="4-body"/>
        <w:spacing w:after="160" w:line="259" w:lineRule="auto"/>
        <w:ind w:left="284"/>
        <w:jc w:val="both"/>
        <w:rPr>
          <w:rFonts w:ascii="Calibri" w:hAnsi="Calibri"/>
          <w:sz w:val="22"/>
          <w:lang w:val="fr-CA"/>
        </w:rPr>
      </w:pPr>
      <w:r w:rsidRPr="003C4FF2">
        <w:rPr>
          <w:rFonts w:ascii="Calibri" w:hAnsi="Calibri"/>
          <w:sz w:val="22"/>
          <w:lang w:val="fr-CA"/>
        </w:rPr>
        <w:t>Le conseil d’administration (CA) a la responsabilité globale de contrôler la gestion des activités et des affaires de l’Office. En exerçant ses pouvoirs et en effectuant ses responsabilités, le CA agit avec honnêteté et de bonne foi en vue des meilleurs intérêts de l’Office, ce qui implique tenir compte des intérêts des pêcheurs, des employés et du propriétaire unique, le gouvernement du Canada, conformément aux règlements de l’entreprise et aux lois pertinentes.</w:t>
      </w:r>
    </w:p>
    <w:p w14:paraId="6CCFBF46" w14:textId="77777777" w:rsidR="003C4FF2" w:rsidRPr="003C4FF2" w:rsidRDefault="003C4FF2" w:rsidP="003C4FF2">
      <w:pPr>
        <w:pStyle w:val="4-body"/>
        <w:spacing w:after="160" w:line="259" w:lineRule="auto"/>
        <w:ind w:left="284"/>
        <w:jc w:val="both"/>
        <w:rPr>
          <w:rFonts w:ascii="Calibri" w:hAnsi="Calibri"/>
          <w:sz w:val="22"/>
          <w:lang w:val="fr-CA"/>
        </w:rPr>
      </w:pPr>
      <w:r w:rsidRPr="003C4FF2">
        <w:rPr>
          <w:rFonts w:ascii="Calibri" w:hAnsi="Calibri"/>
          <w:sz w:val="22"/>
          <w:lang w:val="fr-CA"/>
        </w:rPr>
        <w:lastRenderedPageBreak/>
        <w:t xml:space="preserve">Pour </w:t>
      </w:r>
      <w:r w:rsidRPr="003C4FF2">
        <w:rPr>
          <w:rFonts w:ascii="Calibri" w:hAnsi="Calibri" w:cs="Futura-Bold"/>
          <w:sz w:val="22"/>
          <w:lang w:val="fr-CA"/>
        </w:rPr>
        <w:t>s'acquitter de ses responsabilités de gérance</w:t>
      </w:r>
      <w:r w:rsidRPr="003C4FF2">
        <w:rPr>
          <w:rFonts w:ascii="Calibri" w:hAnsi="Calibri"/>
          <w:sz w:val="22"/>
          <w:lang w:val="fr-CA"/>
        </w:rPr>
        <w:t>, le CA établit et approuve l’orientation stratégique par le biais d’un plan d’entreprise de cinq ans, et étudie et approuve les principales stratégies et initiatives. Il exerce une diligence raisonnable en évaluant les risques et les opportunités, en assurant l’intégrité des résultats financiers et en fournissant des rapports en temps opportun au gouvernement du Canada.</w:t>
      </w:r>
    </w:p>
    <w:p w14:paraId="78E9C2BC" w14:textId="77777777" w:rsidR="003C4FF2" w:rsidRPr="003C4FF2" w:rsidRDefault="003C4FF2" w:rsidP="004E6A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Fonts w:ascii="Calibri" w:hAnsi="Calibri" w:cs="Courier"/>
          <w:szCs w:val="28"/>
          <w:lang w:val="fr-CA" w:eastAsia="fr-FR"/>
        </w:rPr>
      </w:pPr>
      <w:r w:rsidRPr="003C4FF2">
        <w:rPr>
          <w:rFonts w:ascii="Calibri" w:hAnsi="Calibri"/>
          <w:lang w:val="fr-CA"/>
        </w:rPr>
        <w:t xml:space="preserve">Le Comité de gouvernance a la responsabilité d’aider le CA dans ses tâches de surveillance en évaluant et recommandant au CA les pratiques de gouvernance d’entreprise applicables à l’Office. Le Comité de gouvernance, entre autres choses, aide au CA de s’assurer que les membres de la haute direction de l’OCPED ont établi les politiques et procédures appropriées, qu’ils </w:t>
      </w:r>
      <w:r w:rsidRPr="003C4FF2">
        <w:rPr>
          <w:rFonts w:ascii="Calibri" w:hAnsi="Calibri" w:cs="Courier"/>
          <w:lang w:val="fr-CA" w:eastAsia="fr-FR"/>
        </w:rPr>
        <w:t xml:space="preserve">supervisent les activités et la divulgation liées à la responsabilité d'entreprise et suivent les pratiques appropriées en ce qui concerne les lois applicables ainsi que l'esprit et l'intention des directives gouvernementales pertinentes et des objectifs déclarés. </w:t>
      </w:r>
      <w:r w:rsidRPr="003C4FF2">
        <w:rPr>
          <w:rFonts w:ascii="Calibri" w:hAnsi="Calibri" w:cs="Futura-Bold"/>
          <w:lang w:val="fr-CA"/>
        </w:rPr>
        <w:t>Le comité dirige également le CA dans son examen et son évaluation du rendement du CA.</w:t>
      </w:r>
    </w:p>
    <w:p w14:paraId="3AE08C20" w14:textId="77777777" w:rsidR="003C4FF2" w:rsidRPr="003C4FF2" w:rsidRDefault="003C4FF2" w:rsidP="003C4FF2">
      <w:pPr>
        <w:pStyle w:val="Heading2"/>
        <w:ind w:right="0"/>
        <w:rPr>
          <w:lang w:val="fr-CA"/>
        </w:rPr>
      </w:pPr>
    </w:p>
    <w:p w14:paraId="536C7BC5" w14:textId="77777777" w:rsidR="003C4FF2" w:rsidRPr="003C4FF2" w:rsidRDefault="003C4FF2" w:rsidP="003C4FF2">
      <w:pPr>
        <w:pStyle w:val="Heading2"/>
        <w:ind w:right="0"/>
        <w:rPr>
          <w:lang w:val="fr-CA"/>
        </w:rPr>
      </w:pPr>
      <w:r w:rsidRPr="003C4FF2">
        <w:rPr>
          <w:lang w:val="fr-CA"/>
        </w:rPr>
        <w:t>3.2 Code de conduite des employés</w:t>
      </w:r>
    </w:p>
    <w:p w14:paraId="03D50DBC" w14:textId="77777777" w:rsidR="003C4FF2" w:rsidRPr="003C4FF2" w:rsidRDefault="003C4FF2" w:rsidP="003C4FF2">
      <w:pPr>
        <w:spacing w:after="0"/>
        <w:ind w:left="284"/>
        <w:jc w:val="both"/>
        <w:rPr>
          <w:lang w:val="fr-CA"/>
        </w:rPr>
      </w:pPr>
      <w:r w:rsidRPr="003C4FF2">
        <w:rPr>
          <w:lang w:val="fr-CA"/>
        </w:rPr>
        <w:t>Le Code de conduite de l’OCPED décrit les comportements requis pour la direction et les employés. Le Code de conduite vise à garantir que l’OCPED mènera ses activités de manière équitable, impartiale, de manière éthique et appropriée, en pleine conformité avec toutes les lois et réglementations applicables, et conformément aux valeurs de l’OCPED. Dans la conduite de ses activités, l’intégrité doit sous-tendre toutes les relations, y compris celles avec les clients, les fournisseurs, les pêcheurs et entre les employés. Les normes les plus élevées en matière de conduite éthique des affaires sont exigées des employés de l’OCPED dans l’exercice de leurs responsabilités. Les employés sont tenus de ne pas se livrer à une conduite ou à une activité qui pourrait soulever des questions quant à l’honnêteté, à l’impartialité, à la réputation de l’Office ou autrement causer de l’embarras à l’OCPED.</w:t>
      </w:r>
    </w:p>
    <w:p w14:paraId="1F7C9E9F" w14:textId="77777777" w:rsidR="003C4FF2" w:rsidRPr="003C4FF2" w:rsidRDefault="003C4FF2" w:rsidP="003C4FF2">
      <w:pPr>
        <w:spacing w:after="0"/>
        <w:jc w:val="both"/>
        <w:rPr>
          <w:lang w:val="fr-CA"/>
        </w:rPr>
      </w:pPr>
    </w:p>
    <w:p w14:paraId="0ADDEB85" w14:textId="77777777" w:rsidR="003C4FF2" w:rsidRPr="003C4FF2" w:rsidRDefault="003C4FF2" w:rsidP="003C4FF2">
      <w:pPr>
        <w:pStyle w:val="Heading2"/>
        <w:ind w:right="0"/>
        <w:rPr>
          <w:lang w:val="fr-CA"/>
        </w:rPr>
      </w:pPr>
      <w:r w:rsidRPr="003C4FF2">
        <w:rPr>
          <w:lang w:val="fr-CA"/>
        </w:rPr>
        <w:t>3.3 Code de conduite des fournisseurs</w:t>
      </w:r>
    </w:p>
    <w:p w14:paraId="7EA0F1CE" w14:textId="77777777" w:rsidR="003C4FF2" w:rsidRPr="003C4FF2" w:rsidRDefault="003C4FF2" w:rsidP="004E6A62">
      <w:pPr>
        <w:pStyle w:val="NormalWeb"/>
        <w:shd w:val="clear" w:color="auto" w:fill="FFFFFF"/>
        <w:spacing w:before="0" w:beforeAutospacing="0" w:after="0" w:afterAutospacing="0" w:line="259" w:lineRule="auto"/>
        <w:ind w:left="284"/>
        <w:jc w:val="both"/>
        <w:rPr>
          <w:rFonts w:asciiTheme="minorHAnsi" w:hAnsiTheme="minorHAnsi" w:cstheme="minorHAnsi"/>
          <w:color w:val="252525"/>
          <w:sz w:val="22"/>
          <w:szCs w:val="22"/>
          <w:lang w:val="fr-CA"/>
        </w:rPr>
      </w:pPr>
      <w:r w:rsidRPr="003C4FF2">
        <w:rPr>
          <w:rFonts w:asciiTheme="minorHAnsi" w:hAnsiTheme="minorHAnsi" w:cstheme="minorHAnsi"/>
          <w:color w:val="252525"/>
          <w:sz w:val="22"/>
          <w:szCs w:val="22"/>
          <w:lang w:val="fr-CA"/>
        </w:rPr>
        <w:t>Au 30 avril 2025, l’OCPED a terminé l’élaboration de son Code de conduite des fournisseurs (CCF). Le CCF de l’OCPED précise les principes et les attentes quant à la manière dont les fournisseurs qui fournissent des biens et des services à l’Office doivent faire affaire et traiter avec l’Office. Le code est fondé sur des principes et définit nos attentes à l’égard des fournisseurs afin de garantir que leur comportement démontre l’intégrité commerciale, des pratiques commerciales responsables, un traitement responsable des individus et le respect des protocoles de confidentialité et de gestion des informations et des données. Pour garantir le respect du CCF, l’OCPED surveillera la conformité, ce qui peut exiger que les fournisseurs confirment périodiquement par écrit qu’ils répondent aux attentes du CCF de l’OCPED. Le CCF de l’OCPED sera déployé auprès de ses fournisseurs en 2026.</w:t>
      </w:r>
    </w:p>
    <w:p w14:paraId="7F695748" w14:textId="77777777" w:rsidR="003C4FF2" w:rsidRPr="003C4FF2" w:rsidRDefault="003C4FF2" w:rsidP="003C4FF2">
      <w:pPr>
        <w:spacing w:after="0"/>
        <w:jc w:val="both"/>
        <w:rPr>
          <w:b/>
          <w:bCs/>
          <w:color w:val="1F3864" w:themeColor="accent1" w:themeShade="80"/>
          <w:sz w:val="24"/>
          <w:szCs w:val="24"/>
          <w:lang w:val="fr-CA"/>
        </w:rPr>
      </w:pPr>
    </w:p>
    <w:p w14:paraId="07465148" w14:textId="77777777" w:rsidR="003C4FF2" w:rsidRPr="003C4FF2" w:rsidRDefault="003C4FF2" w:rsidP="003C4FF2">
      <w:pPr>
        <w:pStyle w:val="Heading2"/>
        <w:ind w:right="0"/>
        <w:rPr>
          <w:lang w:val="fr-CA"/>
        </w:rPr>
      </w:pPr>
      <w:r w:rsidRPr="003C4FF2">
        <w:rPr>
          <w:lang w:val="fr-CA"/>
        </w:rPr>
        <w:t>3.4 Plan de responsabilité d’entreprise</w:t>
      </w:r>
    </w:p>
    <w:p w14:paraId="2FA8EED4" w14:textId="77777777" w:rsidR="003C4FF2" w:rsidRPr="003C4FF2" w:rsidRDefault="003C4FF2" w:rsidP="003C4F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84"/>
        <w:jc w:val="both"/>
        <w:rPr>
          <w:rFonts w:ascii="Calibri" w:hAnsi="Calibri" w:cs="Courier"/>
          <w:kern w:val="0"/>
          <w:szCs w:val="37"/>
          <w:lang w:val="fr-CA" w:eastAsia="fr-FR"/>
        </w:rPr>
      </w:pPr>
      <w:r w:rsidRPr="003C4FF2">
        <w:rPr>
          <w:rFonts w:ascii="Calibri" w:hAnsi="Calibri" w:cs="Courier"/>
          <w:kern w:val="0"/>
          <w:lang w:val="fr-CA" w:eastAsia="fr-FR"/>
        </w:rPr>
        <w:t>Les fournisseurs sont tenus de mettre en place des politiques et procédures de gestion appropriées pour maintenir des lieux de travail caractérisés par le professionnalisme et le respect de la dignité de chaque personne avec laquelle leurs employés interagissent, y compris le respect des différences telles que le sexe, l'identité de genre, l'expression de genre, la race, la couleur, l'âge, le handicap, l'orientation sexuelle, l'origine ethnique et la religion. Les fournisseurs ne doivent pas tolérer le harcèlement, la discrimination, la violence, les représailles ni tout autre comportement irrespectueux ou inapproprié.</w:t>
      </w:r>
    </w:p>
    <w:p w14:paraId="7EDF1347" w14:textId="77777777" w:rsidR="003C4FF2" w:rsidRPr="003C4FF2" w:rsidRDefault="003C4FF2" w:rsidP="003C4FF2">
      <w:pPr>
        <w:spacing w:after="0"/>
        <w:ind w:left="284"/>
        <w:jc w:val="both"/>
        <w:rPr>
          <w:rFonts w:cstheme="minorHAnsi"/>
          <w:lang w:val="fr-CA"/>
        </w:rPr>
      </w:pPr>
    </w:p>
    <w:p w14:paraId="4EF389F2" w14:textId="77777777" w:rsidR="003C4FF2" w:rsidRPr="003C4FF2" w:rsidRDefault="003C4FF2" w:rsidP="003C4F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84"/>
        <w:jc w:val="both"/>
        <w:rPr>
          <w:rFonts w:ascii="Calibri" w:hAnsi="Calibri" w:cs="Courier"/>
          <w:kern w:val="0"/>
          <w:szCs w:val="37"/>
          <w:lang w:val="fr-CA" w:eastAsia="fr-FR"/>
        </w:rPr>
      </w:pPr>
      <w:r w:rsidRPr="003C4FF2">
        <w:rPr>
          <w:rFonts w:ascii="Calibri" w:hAnsi="Calibri" w:cs="Courier"/>
          <w:kern w:val="0"/>
          <w:lang w:val="fr-CA" w:eastAsia="fr-FR"/>
        </w:rPr>
        <w:t>Les fournisseurs doivent se conformer aux normes d’emploi applicables, à la législation sur le travail, la non-discrimination et les droits humains et démontrer que sur leur lieu de travail, le travail des enfants, le travail forcé ou obligatoire n’est pas utilisé, que la discrimination et le harcèlement sont interdits, que les représailles pour avoir dénoncé sont interdites et que les employés sont libres de faire part de leurs préoccupations sans crainte de représailles, et que des normes d’emploi appliquées de manière uniforme sont utilisées qui satisfont ou dépassent les exigences légales et réglementaires.</w:t>
      </w:r>
    </w:p>
    <w:p w14:paraId="6FFFEC31" w14:textId="77777777" w:rsidR="003C4FF2" w:rsidRPr="003C4FF2" w:rsidRDefault="003C4FF2" w:rsidP="003C4FF2">
      <w:pPr>
        <w:spacing w:after="0"/>
        <w:jc w:val="both"/>
        <w:rPr>
          <w:rFonts w:cstheme="minorHAnsi"/>
          <w:lang w:val="fr-CA"/>
        </w:rPr>
      </w:pPr>
    </w:p>
    <w:p w14:paraId="4815077D" w14:textId="77777777" w:rsidR="003C4FF2" w:rsidRPr="003C4FF2" w:rsidRDefault="003C4FF2" w:rsidP="003C4FF2">
      <w:pPr>
        <w:pStyle w:val="Heading2"/>
        <w:ind w:right="0"/>
        <w:rPr>
          <w:lang w:val="fr-CA"/>
        </w:rPr>
      </w:pPr>
      <w:r w:rsidRPr="003C4FF2">
        <w:rPr>
          <w:lang w:val="fr-CA"/>
        </w:rPr>
        <w:t>3.5 Diligences raisonnables</w:t>
      </w:r>
    </w:p>
    <w:p w14:paraId="69CD31A1" w14:textId="77777777" w:rsidR="003C4FF2" w:rsidRPr="003C4FF2" w:rsidRDefault="003C4FF2" w:rsidP="003C4FF2">
      <w:pPr>
        <w:spacing w:after="0"/>
        <w:ind w:left="284"/>
        <w:jc w:val="both"/>
        <w:rPr>
          <w:lang w:val="fr-CA"/>
        </w:rPr>
      </w:pPr>
      <w:r w:rsidRPr="003C4FF2">
        <w:rPr>
          <w:lang w:val="fr-CA"/>
        </w:rPr>
        <w:t>Au 30 avril 2025, aucune mesure ni action formelle n’avait été prise pour la collecte et l’analyse des données des fournisseurs afin d’évaluer leurs performances ou leur respect des politiques liées à l’esclavage moderne. Une fois le CCF et le PRE terminés et distribués, la conformité des fournisseurs sera évaluée.</w:t>
      </w:r>
    </w:p>
    <w:p w14:paraId="7FF5EAEA" w14:textId="77777777" w:rsidR="003C4FF2" w:rsidRPr="003C4FF2" w:rsidRDefault="003C4FF2" w:rsidP="003C4FF2">
      <w:pPr>
        <w:spacing w:after="0"/>
        <w:jc w:val="both"/>
        <w:rPr>
          <w:lang w:val="fr-CA"/>
        </w:rPr>
      </w:pPr>
    </w:p>
    <w:p w14:paraId="184215C3" w14:textId="77777777" w:rsidR="003C4FF2" w:rsidRPr="003C4FF2" w:rsidRDefault="003C4FF2" w:rsidP="003C4FF2">
      <w:pPr>
        <w:pStyle w:val="Heading1"/>
        <w:rPr>
          <w:b/>
          <w:bCs/>
          <w:lang w:val="fr-CA"/>
        </w:rPr>
      </w:pPr>
      <w:r w:rsidRPr="003C4FF2">
        <w:rPr>
          <w:lang w:val="fr-CA"/>
        </w:rPr>
        <w:t>Évaluation et identification des risques</w:t>
      </w:r>
    </w:p>
    <w:p w14:paraId="3A498BF8" w14:textId="77777777" w:rsidR="003C4FF2" w:rsidRPr="003C4FF2" w:rsidRDefault="003C4FF2" w:rsidP="003C4FF2">
      <w:pPr>
        <w:pStyle w:val="Heading2"/>
        <w:ind w:left="284" w:right="0"/>
        <w:rPr>
          <w:lang w:val="fr-CA"/>
        </w:rPr>
      </w:pPr>
      <w:r w:rsidRPr="003C4FF2">
        <w:rPr>
          <w:lang w:val="fr-CA"/>
        </w:rPr>
        <w:t>4.1 Analyse des opérations</w:t>
      </w:r>
    </w:p>
    <w:p w14:paraId="328B706D" w14:textId="77777777" w:rsidR="003C4FF2" w:rsidRPr="003C4FF2" w:rsidRDefault="003C4FF2" w:rsidP="003C4FF2">
      <w:pPr>
        <w:spacing w:after="0"/>
        <w:ind w:left="284"/>
        <w:jc w:val="both"/>
        <w:rPr>
          <w:lang w:val="fr-CA"/>
        </w:rPr>
      </w:pPr>
      <w:r w:rsidRPr="003C4FF2">
        <w:rPr>
          <w:lang w:val="fr-CA"/>
        </w:rPr>
        <w:t>L’effectif de l’OCPED est en grande partie composé d’employés spécialisés et syndiqués de la transformation du poisson et d’employés de bureau. Par conséquent, nous considérons qu’il existe un faible risque de travail forcé ou de travail des enfants dans nos opérations directes. De plus, toute la main-d’œuvre de l’OCPED est employée au Canada.</w:t>
      </w:r>
    </w:p>
    <w:p w14:paraId="2A64DC71" w14:textId="77777777" w:rsidR="003C4FF2" w:rsidRPr="003C4FF2" w:rsidRDefault="003C4FF2" w:rsidP="003C4FF2">
      <w:pPr>
        <w:spacing w:after="0"/>
        <w:ind w:left="284"/>
        <w:jc w:val="both"/>
        <w:rPr>
          <w:lang w:val="fr-CA"/>
        </w:rPr>
      </w:pPr>
    </w:p>
    <w:p w14:paraId="7A69A287" w14:textId="77777777" w:rsidR="003C4FF2" w:rsidRPr="003C4FF2" w:rsidRDefault="003C4FF2" w:rsidP="003C4FF2">
      <w:pPr>
        <w:pStyle w:val="Heading2"/>
        <w:ind w:left="284" w:right="0"/>
        <w:rPr>
          <w:lang w:val="fr-CA"/>
        </w:rPr>
      </w:pPr>
      <w:r w:rsidRPr="003C4FF2">
        <w:rPr>
          <w:lang w:val="fr-CA"/>
        </w:rPr>
        <w:t>4.2 Analyse de la chaîne d’approvisionnement</w:t>
      </w:r>
    </w:p>
    <w:p w14:paraId="418D202F" w14:textId="77777777" w:rsidR="003C4FF2" w:rsidRPr="003C4FF2" w:rsidRDefault="003C4FF2" w:rsidP="003C4FF2">
      <w:pPr>
        <w:spacing w:after="0"/>
        <w:ind w:left="284"/>
        <w:jc w:val="both"/>
        <w:rPr>
          <w:b/>
          <w:bCs/>
          <w:color w:val="1F3864" w:themeColor="accent1" w:themeShade="80"/>
          <w:sz w:val="24"/>
          <w:szCs w:val="24"/>
          <w:lang w:val="fr-CA"/>
        </w:rPr>
      </w:pPr>
      <w:r w:rsidRPr="003C4FF2">
        <w:rPr>
          <w:lang w:val="fr-CA"/>
        </w:rPr>
        <w:t xml:space="preserve">Étant donné que l’OCPED achète de nombreux biens au niveau national et international, nous reconnaissons le risque que l’esclavage moderne soit utilisé dans notre chaîne d’approvisionnement étendue. Nous comprenons l’importance de l’atténuation des risques et de la gestion des relations tout au long du processus d’approvisionnement, y compris le respect de la </w:t>
      </w:r>
      <w:r w:rsidRPr="003C4FF2">
        <w:rPr>
          <w:i/>
          <w:lang w:val="fr-CA"/>
        </w:rPr>
        <w:t>Loi</w:t>
      </w:r>
      <w:r w:rsidRPr="003C4FF2">
        <w:rPr>
          <w:lang w:val="fr-CA"/>
        </w:rPr>
        <w:t>. Pour y parvenir, nous adopterons une approche à plusieurs volets pour gérer les opportunités et les risques dans notre chaîne d’approvisionnement quant à la manière dont nous sélectionnons nos fournisseurs.</w:t>
      </w:r>
    </w:p>
    <w:p w14:paraId="5E1890C0" w14:textId="77777777" w:rsidR="003C4FF2" w:rsidRPr="003C4FF2" w:rsidRDefault="003C4FF2" w:rsidP="003C4FF2">
      <w:pPr>
        <w:pStyle w:val="ListParagraph"/>
        <w:spacing w:after="0"/>
        <w:ind w:left="142"/>
        <w:jc w:val="both"/>
        <w:rPr>
          <w:b/>
          <w:bCs/>
          <w:color w:val="1F3864" w:themeColor="accent1" w:themeShade="80"/>
          <w:sz w:val="24"/>
          <w:szCs w:val="24"/>
          <w:lang w:val="fr-CA"/>
        </w:rPr>
      </w:pPr>
    </w:p>
    <w:p w14:paraId="6F76023E" w14:textId="77777777" w:rsidR="003C4FF2" w:rsidRPr="003C4FF2" w:rsidRDefault="003C4FF2" w:rsidP="003C4FF2">
      <w:pPr>
        <w:pStyle w:val="Heading1"/>
        <w:rPr>
          <w:b/>
          <w:bCs/>
          <w:lang w:val="fr-CA"/>
        </w:rPr>
      </w:pPr>
      <w:r w:rsidRPr="003C4FF2">
        <w:rPr>
          <w:lang w:val="fr-CA"/>
        </w:rPr>
        <w:t>Assainissement et mesures correctives</w:t>
      </w:r>
    </w:p>
    <w:p w14:paraId="1D410554" w14:textId="77777777" w:rsidR="003C4FF2" w:rsidRPr="003C4FF2" w:rsidRDefault="003C4FF2" w:rsidP="003C4FF2">
      <w:pPr>
        <w:pStyle w:val="ListParagraph"/>
        <w:spacing w:after="0"/>
        <w:ind w:left="284"/>
        <w:jc w:val="both"/>
        <w:rPr>
          <w:b/>
          <w:bCs/>
          <w:color w:val="1F3864" w:themeColor="accent1" w:themeShade="80"/>
          <w:sz w:val="24"/>
          <w:szCs w:val="24"/>
          <w:lang w:val="fr-CA"/>
        </w:rPr>
      </w:pPr>
      <w:r w:rsidRPr="003C4FF2">
        <w:rPr>
          <w:lang w:val="fr-CA"/>
        </w:rPr>
        <w:t>Comme l’OCPED n’a identifié aucun esclavage moderne dans son entreprise ou sa chaîne d’approvisionnement, l’Office n’a pris aucune mesure pour remédier à tout travail forcé ou travail des enfants ou pour remédier à toute perte de revenus pour les familles vulnérables résultant des mesures prises pour éliminer le recours au travail forcé ou travail des enfants dans nos activités ou chaînes d’approvisionnement</w:t>
      </w:r>
    </w:p>
    <w:p w14:paraId="62762448" w14:textId="77777777" w:rsidR="003C4FF2" w:rsidRPr="003C4FF2" w:rsidRDefault="003C4FF2" w:rsidP="003C4FF2">
      <w:pPr>
        <w:pStyle w:val="ListParagraph"/>
        <w:rPr>
          <w:b/>
          <w:bCs/>
          <w:color w:val="1F3864" w:themeColor="accent1" w:themeShade="80"/>
          <w:sz w:val="24"/>
          <w:szCs w:val="24"/>
          <w:lang w:val="fr-CA"/>
        </w:rPr>
      </w:pPr>
    </w:p>
    <w:p w14:paraId="695AC3E8" w14:textId="77777777" w:rsidR="003C4FF2" w:rsidRPr="003C4FF2" w:rsidRDefault="003C4FF2" w:rsidP="003C4FF2">
      <w:pPr>
        <w:pStyle w:val="Heading1"/>
        <w:rPr>
          <w:b/>
          <w:bCs/>
          <w:lang w:val="fr-CA"/>
        </w:rPr>
      </w:pPr>
      <w:r w:rsidRPr="003C4FF2">
        <w:rPr>
          <w:lang w:val="fr-CA"/>
        </w:rPr>
        <w:t>Évaluation de l’efficacité</w:t>
      </w:r>
    </w:p>
    <w:p w14:paraId="5A1A8EBF" w14:textId="77777777" w:rsidR="003C4FF2" w:rsidRPr="003C4FF2" w:rsidRDefault="003C4FF2" w:rsidP="003C4FF2">
      <w:pPr>
        <w:pStyle w:val="ListParagraph"/>
        <w:ind w:left="284"/>
        <w:jc w:val="both"/>
        <w:rPr>
          <w:lang w:val="fr-CA"/>
        </w:rPr>
      </w:pPr>
      <w:r w:rsidRPr="003C4FF2">
        <w:rPr>
          <w:lang w:val="fr-CA"/>
        </w:rPr>
        <w:t>L’OCPED s’engage à lutter contre les risques de travail forcé et de travail des enfants dans nos activités et nos chaînes d’approvisionnement. Comme décrit dans le présent rapport, l’OCPED met en place un certain nombre de mesures pour prévenir et réduire ces risques. Toutefois, à ce jour, aucune mesure n’a été prise pour évaluer l’efficacité de ces mesures.</w:t>
      </w:r>
    </w:p>
    <w:p w14:paraId="47E30BB4" w14:textId="77777777" w:rsidR="003C4FF2" w:rsidRPr="003C4FF2" w:rsidRDefault="003C4FF2" w:rsidP="003C4FF2">
      <w:pPr>
        <w:pStyle w:val="ListParagraph"/>
        <w:ind w:left="142"/>
        <w:jc w:val="both"/>
        <w:rPr>
          <w:b/>
          <w:bCs/>
          <w:color w:val="1F3864" w:themeColor="accent1" w:themeShade="80"/>
          <w:sz w:val="24"/>
          <w:szCs w:val="24"/>
          <w:lang w:val="fr-CA"/>
        </w:rPr>
      </w:pPr>
    </w:p>
    <w:p w14:paraId="6C44DBD1" w14:textId="77777777" w:rsidR="003C4FF2" w:rsidRPr="003C4FF2" w:rsidRDefault="003C4FF2" w:rsidP="003C4FF2">
      <w:pPr>
        <w:pStyle w:val="Heading1"/>
        <w:rPr>
          <w:b/>
          <w:bCs/>
          <w:lang w:val="fr-CA"/>
        </w:rPr>
      </w:pPr>
      <w:r w:rsidRPr="003C4FF2">
        <w:rPr>
          <w:lang w:val="fr-CA"/>
        </w:rPr>
        <w:t>Formation et sensibilisation</w:t>
      </w:r>
    </w:p>
    <w:p w14:paraId="28B1E28E" w14:textId="77777777" w:rsidR="003C4FF2" w:rsidRPr="003C4FF2" w:rsidRDefault="003C4FF2" w:rsidP="006D20B7">
      <w:pPr>
        <w:pStyle w:val="ListParagraph"/>
        <w:ind w:left="284"/>
        <w:jc w:val="both"/>
        <w:rPr>
          <w:b/>
          <w:bCs/>
          <w:color w:val="1F3864" w:themeColor="accent1" w:themeShade="80"/>
          <w:sz w:val="24"/>
          <w:szCs w:val="24"/>
          <w:lang w:val="fr-CA"/>
        </w:rPr>
      </w:pPr>
      <w:r w:rsidRPr="003C4FF2">
        <w:rPr>
          <w:lang w:val="fr-CA"/>
        </w:rPr>
        <w:t xml:space="preserve">L’OCPED examine son code de conduite avec chaque nouvel employé dans le cadre du processus d’intégration de l’Office. La direction et les salariés sont également tenus de certifier régulièrement leur conformité au Code de conduite. Bien que le Code de conduite n’aborde pas directement les questions d’esclavage moderne, il affirme l’engagement de l’Office à garantir que ses employés adhèrent aux normes éthiques les plus élevées. Nous avons </w:t>
      </w:r>
      <w:proofErr w:type="spellStart"/>
      <w:proofErr w:type="gramStart"/>
      <w:r w:rsidRPr="003C4FF2">
        <w:rPr>
          <w:lang w:val="fr-CA"/>
        </w:rPr>
        <w:t>fournie</w:t>
      </w:r>
      <w:proofErr w:type="spellEnd"/>
      <w:proofErr w:type="gramEnd"/>
      <w:r w:rsidRPr="003C4FF2">
        <w:rPr>
          <w:lang w:val="fr-CA"/>
        </w:rPr>
        <w:t xml:space="preserve"> une formation sur les enjeux de l’esclavage moderne aux employés en 2025 grâce à une formation renforcée sur le Code de conduite.</w:t>
      </w:r>
    </w:p>
    <w:p w14:paraId="4B4D1E5A" w14:textId="77777777" w:rsidR="003C4FF2" w:rsidRPr="003C4FF2" w:rsidRDefault="003C4FF2" w:rsidP="003C4FF2">
      <w:pPr>
        <w:pStyle w:val="Heading1"/>
        <w:rPr>
          <w:b/>
          <w:bCs/>
          <w:lang w:val="fr-CA"/>
        </w:rPr>
      </w:pPr>
      <w:r w:rsidRPr="003C4FF2">
        <w:rPr>
          <w:lang w:val="fr-CA"/>
        </w:rPr>
        <w:t>Approbation et attestation</w:t>
      </w:r>
    </w:p>
    <w:p w14:paraId="68924872" w14:textId="77777777" w:rsidR="003C4FF2" w:rsidRPr="003C4FF2" w:rsidRDefault="003C4FF2" w:rsidP="003C4FF2">
      <w:pPr>
        <w:pStyle w:val="ListParagraph"/>
        <w:spacing w:after="0"/>
        <w:ind w:left="218"/>
        <w:jc w:val="both"/>
        <w:rPr>
          <w:lang w:val="fr-CA"/>
        </w:rPr>
      </w:pPr>
      <w:r w:rsidRPr="003C4FF2">
        <w:rPr>
          <w:lang w:val="fr-CA"/>
        </w:rPr>
        <w:t xml:space="preserve">Ce rapport a été approuvé conformément aux dispositions de l’article 11(4)(b)(ii) de la </w:t>
      </w:r>
      <w:r w:rsidRPr="003C4FF2">
        <w:rPr>
          <w:i/>
          <w:lang w:val="fr-CA"/>
        </w:rPr>
        <w:t>Loi</w:t>
      </w:r>
      <w:r w:rsidRPr="003C4FF2">
        <w:rPr>
          <w:lang w:val="fr-CA"/>
        </w:rPr>
        <w:t xml:space="preserve"> par le conseil d’administration de l’OCPED pour l’exercice se terminant le 30 avril 2025. Conformément aux exigences de la </w:t>
      </w:r>
      <w:r w:rsidRPr="003C4FF2">
        <w:rPr>
          <w:i/>
          <w:lang w:val="fr-CA"/>
        </w:rPr>
        <w:t>Loi</w:t>
      </w:r>
      <w:r w:rsidRPr="003C4FF2">
        <w:rPr>
          <w:lang w:val="fr-CA"/>
        </w:rPr>
        <w:t xml:space="preserve">, et notamment son article 11, j’atteste avoir pris connaissance des informations contenues dans le rapport pour la ou les entités listées ci-dessus. Au meilleur de ma connaissance et après avoir exercé la diligence raisonnable, je confirme que les informations contenues dans le rapport sont vraies, exactes et complètes à tous égards importants aux fins de la </w:t>
      </w:r>
      <w:r w:rsidRPr="003C4FF2">
        <w:rPr>
          <w:i/>
          <w:lang w:val="fr-CA"/>
        </w:rPr>
        <w:t>Loi</w:t>
      </w:r>
      <w:r w:rsidRPr="003C4FF2">
        <w:rPr>
          <w:lang w:val="fr-CA"/>
        </w:rPr>
        <w:t>, pour l’année de déclaration mentionnée ci-dessus.</w:t>
      </w:r>
    </w:p>
    <w:p w14:paraId="4EF230E1" w14:textId="77777777" w:rsidR="003C4FF2" w:rsidRPr="003C4FF2" w:rsidRDefault="003C4FF2" w:rsidP="003C4FF2">
      <w:pPr>
        <w:pStyle w:val="ListParagraph"/>
        <w:spacing w:after="0"/>
        <w:ind w:left="218"/>
        <w:jc w:val="both"/>
        <w:rPr>
          <w:lang w:val="fr-CA"/>
        </w:rPr>
      </w:pPr>
    </w:p>
    <w:p w14:paraId="3C49FE0E" w14:textId="77777777" w:rsidR="003C4FF2" w:rsidRPr="003C4FF2" w:rsidRDefault="003C4FF2" w:rsidP="003C4FF2">
      <w:pPr>
        <w:pStyle w:val="ListParagraph"/>
        <w:spacing w:after="0"/>
        <w:ind w:left="218"/>
        <w:jc w:val="both"/>
        <w:rPr>
          <w:lang w:val="fr-CA"/>
        </w:rPr>
      </w:pPr>
      <w:r w:rsidRPr="003C4FF2">
        <w:rPr>
          <w:lang w:val="fr-CA"/>
        </w:rPr>
        <w:t>Je fais l’attestation ci-dessus en ma qualité d’administrateur du conseil d’administration de l’Office de commercialisation du poisson d’eau douce pour et au nom du conseil.</w:t>
      </w:r>
    </w:p>
    <w:p w14:paraId="7DA44283" w14:textId="77777777" w:rsidR="003C4FF2" w:rsidRPr="003C4FF2" w:rsidRDefault="003C4FF2" w:rsidP="003C4FF2">
      <w:pPr>
        <w:pStyle w:val="ListParagraph"/>
        <w:spacing w:after="0"/>
        <w:ind w:left="218"/>
        <w:jc w:val="both"/>
        <w:rPr>
          <w:lang w:val="fr-CA"/>
        </w:rPr>
      </w:pPr>
    </w:p>
    <w:p w14:paraId="21989D38" w14:textId="77777777" w:rsidR="003C4FF2" w:rsidRPr="003C4FF2" w:rsidRDefault="003C4FF2" w:rsidP="003C4FF2">
      <w:pPr>
        <w:pStyle w:val="ListParagraph"/>
        <w:spacing w:after="0"/>
        <w:ind w:left="218"/>
        <w:jc w:val="both"/>
        <w:rPr>
          <w:lang w:val="fr-CA"/>
        </w:rPr>
      </w:pPr>
      <w:r w:rsidRPr="003C4FF2">
        <w:rPr>
          <w:lang w:val="fr-CA"/>
        </w:rPr>
        <w:t>J’ai le pouvoir de lier l’Office.</w:t>
      </w:r>
    </w:p>
    <w:p w14:paraId="76D42A1C" w14:textId="77777777" w:rsidR="003C4FF2" w:rsidRPr="003C4FF2" w:rsidRDefault="003C4FF2" w:rsidP="003C4FF2">
      <w:pPr>
        <w:pStyle w:val="ListParagraph"/>
        <w:spacing w:after="0"/>
        <w:ind w:left="218"/>
        <w:jc w:val="both"/>
        <w:rPr>
          <w:lang w:val="fr-CA"/>
        </w:rPr>
      </w:pPr>
    </w:p>
    <w:p w14:paraId="446059ED" w14:textId="77777777" w:rsidR="003C4FF2" w:rsidRPr="003C4FF2" w:rsidRDefault="003C4FF2" w:rsidP="003C4FF2">
      <w:pPr>
        <w:spacing w:after="0"/>
        <w:jc w:val="both"/>
        <w:rPr>
          <w:lang w:val="fr-CA"/>
        </w:rPr>
      </w:pPr>
      <w:r w:rsidRPr="003C4FF2">
        <w:rPr>
          <w:noProof/>
          <w:lang w:val="fr-CA"/>
        </w:rPr>
        <w:drawing>
          <wp:inline distT="0" distB="0" distL="0" distR="0" wp14:anchorId="644B7003" wp14:editId="3D14FF54">
            <wp:extent cx="716280" cy="490483"/>
            <wp:effectExtent l="0" t="0" r="762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9176" cy="533552"/>
                    </a:xfrm>
                    <a:prstGeom prst="rect">
                      <a:avLst/>
                    </a:prstGeom>
                    <a:noFill/>
                    <a:ln>
                      <a:noFill/>
                    </a:ln>
                  </pic:spPr>
                </pic:pic>
              </a:graphicData>
            </a:graphic>
          </wp:inline>
        </w:drawing>
      </w:r>
    </w:p>
    <w:p w14:paraId="3F66A659" w14:textId="77777777" w:rsidR="003C4FF2" w:rsidRPr="003C4FF2" w:rsidRDefault="003C4FF2" w:rsidP="003C4FF2">
      <w:pPr>
        <w:pStyle w:val="ListParagraph"/>
        <w:spacing w:after="0"/>
        <w:ind w:left="218"/>
        <w:jc w:val="both"/>
        <w:rPr>
          <w:lang w:val="fr-CA"/>
        </w:rPr>
      </w:pPr>
      <w:r w:rsidRPr="003C4FF2">
        <w:rPr>
          <w:lang w:val="fr-CA"/>
        </w:rPr>
        <w:t>____________________</w:t>
      </w:r>
    </w:p>
    <w:p w14:paraId="60088896" w14:textId="77777777" w:rsidR="003C4FF2" w:rsidRPr="003C4FF2" w:rsidRDefault="003C4FF2" w:rsidP="003C4FF2">
      <w:pPr>
        <w:pStyle w:val="ListParagraph"/>
        <w:spacing w:after="0"/>
        <w:ind w:left="218"/>
        <w:jc w:val="both"/>
        <w:rPr>
          <w:lang w:val="fr-CA"/>
        </w:rPr>
      </w:pPr>
      <w:r w:rsidRPr="003C4FF2">
        <w:rPr>
          <w:lang w:val="fr-CA"/>
        </w:rPr>
        <w:t>Stan Lazar</w:t>
      </w:r>
    </w:p>
    <w:p w14:paraId="426CBDAE" w14:textId="4B291BFA" w:rsidR="003C4FF2" w:rsidRPr="003C4FF2" w:rsidRDefault="003C4FF2" w:rsidP="003C4FF2">
      <w:pPr>
        <w:pStyle w:val="ListParagraph"/>
        <w:spacing w:after="0"/>
        <w:ind w:left="218"/>
        <w:jc w:val="both"/>
        <w:rPr>
          <w:lang w:val="fr-CA"/>
        </w:rPr>
      </w:pPr>
      <w:r w:rsidRPr="003C4FF2">
        <w:rPr>
          <w:lang w:val="fr-CA"/>
        </w:rPr>
        <w:t>Président et chef de la direction</w:t>
      </w:r>
    </w:p>
    <w:p w14:paraId="60B59839" w14:textId="51E6D819" w:rsidR="003C4FF2" w:rsidRPr="003C4FF2" w:rsidRDefault="003C4FF2" w:rsidP="003C4FF2">
      <w:pPr>
        <w:pStyle w:val="ListParagraph"/>
        <w:spacing w:after="0"/>
        <w:ind w:left="218"/>
        <w:jc w:val="both"/>
        <w:rPr>
          <w:lang w:val="fr-CA"/>
        </w:rPr>
      </w:pPr>
      <w:r w:rsidRPr="003C4FF2">
        <w:rPr>
          <w:lang w:val="fr-CA"/>
        </w:rPr>
        <w:t xml:space="preserve">Le </w:t>
      </w:r>
      <w:r w:rsidR="003B296E">
        <w:rPr>
          <w:lang w:val="fr-CA"/>
        </w:rPr>
        <w:t>23</w:t>
      </w:r>
      <w:r w:rsidRPr="003C4FF2">
        <w:rPr>
          <w:lang w:val="fr-CA"/>
        </w:rPr>
        <w:t xml:space="preserve"> mai 2025</w:t>
      </w:r>
    </w:p>
    <w:p w14:paraId="319D9EA5" w14:textId="77777777" w:rsidR="003C4FF2" w:rsidRDefault="003C4FF2"/>
    <w:sectPr w:rsidR="003C4FF2" w:rsidSect="00982E48">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368" w:right="49" w:bottom="654" w:left="692" w:header="340" w:footer="57" w:gutter="0"/>
      <w:pgNumType w:start="0"/>
      <w:cols w:space="720" w:equalWidth="0">
        <w:col w:w="936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AFD6" w14:textId="77777777" w:rsidR="00010F58" w:rsidRDefault="00010F58" w:rsidP="006E0D83">
      <w:pPr>
        <w:spacing w:after="0" w:line="240" w:lineRule="auto"/>
      </w:pPr>
      <w:r>
        <w:separator/>
      </w:r>
    </w:p>
  </w:endnote>
  <w:endnote w:type="continuationSeparator" w:id="0">
    <w:p w14:paraId="5476558E" w14:textId="77777777" w:rsidR="00010F58" w:rsidRDefault="00010F58" w:rsidP="006E0D83">
      <w:pPr>
        <w:spacing w:after="0" w:line="240" w:lineRule="auto"/>
      </w:pPr>
      <w:r>
        <w:continuationSeparator/>
      </w:r>
    </w:p>
  </w:endnote>
  <w:endnote w:type="continuationNotice" w:id="1">
    <w:p w14:paraId="2303FF63" w14:textId="77777777" w:rsidR="00010F58" w:rsidRDefault="00010F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JansonText-Roman">
    <w:altName w:val="Calibri"/>
    <w:panose1 w:val="00000000000000000000"/>
    <w:charset w:val="4D"/>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AGaramondPro-Regular">
    <w:altName w:val="MS Gothic"/>
    <w:panose1 w:val="00000000000000000000"/>
    <w:charset w:val="80"/>
    <w:family w:val="auto"/>
    <w:notTrueType/>
    <w:pitch w:val="default"/>
    <w:sig w:usb0="00000000" w:usb1="08070000" w:usb2="00000010" w:usb3="00000000" w:csb0="00020001" w:csb1="00000000"/>
  </w:font>
  <w:font w:name="Futura-Bold">
    <w:altName w:val="B Futura Bold"/>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80645" w14:textId="77777777" w:rsidR="00010F58" w:rsidRDefault="00010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F9577" w14:textId="77777777" w:rsidR="00010F58" w:rsidRPr="00A42575" w:rsidRDefault="00010F58" w:rsidP="00A42575">
    <w:pPr>
      <w:pStyle w:val="Footer"/>
      <w:jc w:val="right"/>
      <w:rPr>
        <w:rFonts w:cstheme="minorHAnsi"/>
      </w:rPr>
    </w:pPr>
  </w:p>
  <w:p w14:paraId="4395AD9A" w14:textId="77777777" w:rsidR="00010F58" w:rsidRDefault="00010F58" w:rsidP="00945C8E">
    <w:pPr>
      <w:pStyle w:val="Footer"/>
      <w:jc w:val="center"/>
    </w:pPr>
    <w:r w:rsidRPr="00A31353">
      <w:rPr>
        <w:noProof/>
        <w:lang w:val="fr-FR" w:eastAsia="fr-FR"/>
      </w:rPr>
      <w:drawing>
        <wp:inline distT="0" distB="0" distL="0" distR="0" wp14:anchorId="1426E4BF" wp14:editId="332232C7">
          <wp:extent cx="487680" cy="487680"/>
          <wp:effectExtent l="0" t="0" r="7620" b="7620"/>
          <wp:docPr id="1243895222" name="Picture 1243895222" descr="A blue fish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fish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inline>
      </w:drawing>
    </w:r>
  </w:p>
  <w:p w14:paraId="6031CFB3" w14:textId="77777777" w:rsidR="00010F58" w:rsidRDefault="00010F58" w:rsidP="00945C8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94B4" w14:textId="77777777" w:rsidR="00010F58" w:rsidRDefault="00010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A163D" w14:textId="77777777" w:rsidR="00010F58" w:rsidRDefault="00010F58" w:rsidP="006E0D83">
      <w:pPr>
        <w:spacing w:after="0" w:line="240" w:lineRule="auto"/>
      </w:pPr>
      <w:r>
        <w:separator/>
      </w:r>
    </w:p>
  </w:footnote>
  <w:footnote w:type="continuationSeparator" w:id="0">
    <w:p w14:paraId="29157AD0" w14:textId="77777777" w:rsidR="00010F58" w:rsidRDefault="00010F58" w:rsidP="006E0D83">
      <w:pPr>
        <w:spacing w:after="0" w:line="240" w:lineRule="auto"/>
      </w:pPr>
      <w:r>
        <w:continuationSeparator/>
      </w:r>
    </w:p>
  </w:footnote>
  <w:footnote w:type="continuationNotice" w:id="1">
    <w:p w14:paraId="22A2004E" w14:textId="77777777" w:rsidR="00010F58" w:rsidRDefault="00010F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484DB" w14:textId="77777777" w:rsidR="00010F58" w:rsidRDefault="00010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943255"/>
      <w:docPartObj>
        <w:docPartGallery w:val="Page Numbers (Top of Page)"/>
        <w:docPartUnique/>
      </w:docPartObj>
    </w:sdtPr>
    <w:sdtEndPr>
      <w:rPr>
        <w:noProof/>
      </w:rPr>
    </w:sdtEndPr>
    <w:sdtContent>
      <w:p w14:paraId="17E37925" w14:textId="77777777" w:rsidR="00010F58" w:rsidRDefault="00010F58">
        <w:pPr>
          <w:pStyle w:val="Header"/>
          <w:jc w:val="center"/>
        </w:pPr>
      </w:p>
      <w:p w14:paraId="0CAB5125" w14:textId="77777777" w:rsidR="00010F58" w:rsidRDefault="00D20779">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14:paraId="23549D9C" w14:textId="77777777" w:rsidR="00010F58" w:rsidRDefault="00010F58" w:rsidP="003D421C">
    <w:pPr>
      <w:pStyle w:val="Header"/>
      <w:ind w:left="-142" w:hanging="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E3EAF" w14:textId="77777777" w:rsidR="00010F58" w:rsidRDefault="00010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38E5"/>
    <w:multiLevelType w:val="hybridMultilevel"/>
    <w:tmpl w:val="FDC0602C"/>
    <w:lvl w:ilvl="0" w:tplc="1FE03508">
      <w:start w:val="1"/>
      <w:numFmt w:val="decimal"/>
      <w:lvlText w:val="%1."/>
      <w:lvlJc w:val="left"/>
      <w:pPr>
        <w:ind w:left="218" w:hanging="360"/>
      </w:pPr>
      <w:rPr>
        <w:rFonts w:hint="default"/>
      </w:rPr>
    </w:lvl>
    <w:lvl w:ilvl="1" w:tplc="10090019" w:tentative="1">
      <w:start w:val="1"/>
      <w:numFmt w:val="lowerLetter"/>
      <w:lvlText w:val="%2."/>
      <w:lvlJc w:val="left"/>
      <w:pPr>
        <w:ind w:left="938" w:hanging="360"/>
      </w:pPr>
    </w:lvl>
    <w:lvl w:ilvl="2" w:tplc="1009001B" w:tentative="1">
      <w:start w:val="1"/>
      <w:numFmt w:val="lowerRoman"/>
      <w:lvlText w:val="%3."/>
      <w:lvlJc w:val="right"/>
      <w:pPr>
        <w:ind w:left="1658" w:hanging="180"/>
      </w:pPr>
    </w:lvl>
    <w:lvl w:ilvl="3" w:tplc="1009000F" w:tentative="1">
      <w:start w:val="1"/>
      <w:numFmt w:val="decimal"/>
      <w:lvlText w:val="%4."/>
      <w:lvlJc w:val="left"/>
      <w:pPr>
        <w:ind w:left="2378" w:hanging="360"/>
      </w:pPr>
    </w:lvl>
    <w:lvl w:ilvl="4" w:tplc="10090019" w:tentative="1">
      <w:start w:val="1"/>
      <w:numFmt w:val="lowerLetter"/>
      <w:lvlText w:val="%5."/>
      <w:lvlJc w:val="left"/>
      <w:pPr>
        <w:ind w:left="3098" w:hanging="360"/>
      </w:pPr>
    </w:lvl>
    <w:lvl w:ilvl="5" w:tplc="1009001B" w:tentative="1">
      <w:start w:val="1"/>
      <w:numFmt w:val="lowerRoman"/>
      <w:lvlText w:val="%6."/>
      <w:lvlJc w:val="right"/>
      <w:pPr>
        <w:ind w:left="3818" w:hanging="180"/>
      </w:pPr>
    </w:lvl>
    <w:lvl w:ilvl="6" w:tplc="1009000F" w:tentative="1">
      <w:start w:val="1"/>
      <w:numFmt w:val="decimal"/>
      <w:lvlText w:val="%7."/>
      <w:lvlJc w:val="left"/>
      <w:pPr>
        <w:ind w:left="4538" w:hanging="360"/>
      </w:pPr>
    </w:lvl>
    <w:lvl w:ilvl="7" w:tplc="10090019" w:tentative="1">
      <w:start w:val="1"/>
      <w:numFmt w:val="lowerLetter"/>
      <w:lvlText w:val="%8."/>
      <w:lvlJc w:val="left"/>
      <w:pPr>
        <w:ind w:left="5258" w:hanging="360"/>
      </w:pPr>
    </w:lvl>
    <w:lvl w:ilvl="8" w:tplc="1009001B" w:tentative="1">
      <w:start w:val="1"/>
      <w:numFmt w:val="lowerRoman"/>
      <w:lvlText w:val="%9."/>
      <w:lvlJc w:val="right"/>
      <w:pPr>
        <w:ind w:left="5978" w:hanging="180"/>
      </w:pPr>
    </w:lvl>
  </w:abstractNum>
  <w:abstractNum w:abstractNumId="1" w15:restartNumberingAfterBreak="0">
    <w:nsid w:val="042529E5"/>
    <w:multiLevelType w:val="multilevel"/>
    <w:tmpl w:val="4A04E654"/>
    <w:lvl w:ilvl="0">
      <w:start w:val="1"/>
      <w:numFmt w:val="decimal"/>
      <w:lvlText w:val="%1."/>
      <w:lvlJc w:val="left"/>
      <w:pPr>
        <w:ind w:left="720" w:hanging="360"/>
      </w:pPr>
      <w:rPr>
        <w:rFonts w:asciiTheme="minorHAnsi" w:hAnsiTheme="minorHAnsi" w:cstheme="minorHAnsi" w:hint="default"/>
        <w:b w:val="0"/>
        <w:color w:val="008A97"/>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A50EE6"/>
    <w:multiLevelType w:val="hybridMultilevel"/>
    <w:tmpl w:val="B43013E8"/>
    <w:lvl w:ilvl="0" w:tplc="FED2808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DFB6E6C"/>
    <w:multiLevelType w:val="hybridMultilevel"/>
    <w:tmpl w:val="C8DE8FE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D70F51"/>
    <w:multiLevelType w:val="multilevel"/>
    <w:tmpl w:val="C8DE8F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70941"/>
    <w:multiLevelType w:val="multilevel"/>
    <w:tmpl w:val="4A04E654"/>
    <w:lvl w:ilvl="0">
      <w:start w:val="1"/>
      <w:numFmt w:val="decimal"/>
      <w:pStyle w:val="Heading1"/>
      <w:lvlText w:val="%1."/>
      <w:lvlJc w:val="left"/>
      <w:pPr>
        <w:ind w:left="720" w:hanging="360"/>
      </w:pPr>
      <w:rPr>
        <w:rFonts w:asciiTheme="minorHAnsi" w:hAnsiTheme="minorHAnsi" w:cstheme="minorHAnsi" w:hint="default"/>
        <w:b w:val="0"/>
        <w:color w:val="008A97"/>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D1477D"/>
    <w:multiLevelType w:val="multilevel"/>
    <w:tmpl w:val="CC7C4A48"/>
    <w:lvl w:ilvl="0">
      <w:start w:val="2"/>
      <w:numFmt w:val="decimal"/>
      <w:lvlText w:val="%1."/>
      <w:lvlJc w:val="left"/>
      <w:pPr>
        <w:ind w:left="218"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7" w15:restartNumberingAfterBreak="0">
    <w:nsid w:val="67EC063D"/>
    <w:multiLevelType w:val="multilevel"/>
    <w:tmpl w:val="E58A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92675E"/>
    <w:multiLevelType w:val="hybridMultilevel"/>
    <w:tmpl w:val="83CCC5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6D1F1362"/>
    <w:multiLevelType w:val="hybridMultilevel"/>
    <w:tmpl w:val="90E2AC6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87862DD"/>
    <w:multiLevelType w:val="multilevel"/>
    <w:tmpl w:val="189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7441607">
    <w:abstractNumId w:val="3"/>
  </w:num>
  <w:num w:numId="2" w16cid:durableId="1424103387">
    <w:abstractNumId w:val="7"/>
  </w:num>
  <w:num w:numId="3" w16cid:durableId="1154374970">
    <w:abstractNumId w:val="8"/>
  </w:num>
  <w:num w:numId="4" w16cid:durableId="1932816607">
    <w:abstractNumId w:val="9"/>
  </w:num>
  <w:num w:numId="5" w16cid:durableId="412171084">
    <w:abstractNumId w:val="2"/>
  </w:num>
  <w:num w:numId="6" w16cid:durableId="670765822">
    <w:abstractNumId w:val="0"/>
  </w:num>
  <w:num w:numId="7" w16cid:durableId="24716702">
    <w:abstractNumId w:val="6"/>
  </w:num>
  <w:num w:numId="8" w16cid:durableId="1404638807">
    <w:abstractNumId w:val="5"/>
  </w:num>
  <w:num w:numId="9" w16cid:durableId="847062402">
    <w:abstractNumId w:val="10"/>
  </w:num>
  <w:num w:numId="10" w16cid:durableId="1327975308">
    <w:abstractNumId w:val="4"/>
  </w:num>
  <w:num w:numId="11" w16cid:durableId="1441099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B6"/>
    <w:rsid w:val="000004FC"/>
    <w:rsid w:val="00005ED2"/>
    <w:rsid w:val="00010F58"/>
    <w:rsid w:val="0001489E"/>
    <w:rsid w:val="00024F18"/>
    <w:rsid w:val="000266BA"/>
    <w:rsid w:val="00026AB2"/>
    <w:rsid w:val="00037CE3"/>
    <w:rsid w:val="00041FDA"/>
    <w:rsid w:val="000465DD"/>
    <w:rsid w:val="00051449"/>
    <w:rsid w:val="00054529"/>
    <w:rsid w:val="00055F22"/>
    <w:rsid w:val="00061CE4"/>
    <w:rsid w:val="00062FE7"/>
    <w:rsid w:val="00074E6A"/>
    <w:rsid w:val="00074F10"/>
    <w:rsid w:val="00076179"/>
    <w:rsid w:val="0007643E"/>
    <w:rsid w:val="0007727E"/>
    <w:rsid w:val="00080083"/>
    <w:rsid w:val="00080F81"/>
    <w:rsid w:val="00081EE1"/>
    <w:rsid w:val="000827EF"/>
    <w:rsid w:val="00083711"/>
    <w:rsid w:val="00085529"/>
    <w:rsid w:val="0009073A"/>
    <w:rsid w:val="00093DA5"/>
    <w:rsid w:val="000A1053"/>
    <w:rsid w:val="000A47FA"/>
    <w:rsid w:val="000C31BD"/>
    <w:rsid w:val="000D27B7"/>
    <w:rsid w:val="000E383D"/>
    <w:rsid w:val="000E6C3D"/>
    <w:rsid w:val="000E7027"/>
    <w:rsid w:val="00100780"/>
    <w:rsid w:val="001018DF"/>
    <w:rsid w:val="00102E90"/>
    <w:rsid w:val="00104CB0"/>
    <w:rsid w:val="001073E8"/>
    <w:rsid w:val="001118B5"/>
    <w:rsid w:val="0011615C"/>
    <w:rsid w:val="001237DB"/>
    <w:rsid w:val="001269EB"/>
    <w:rsid w:val="001279BA"/>
    <w:rsid w:val="00130445"/>
    <w:rsid w:val="0013241A"/>
    <w:rsid w:val="00136639"/>
    <w:rsid w:val="00137778"/>
    <w:rsid w:val="00141ECF"/>
    <w:rsid w:val="001422B2"/>
    <w:rsid w:val="00144474"/>
    <w:rsid w:val="00150DB6"/>
    <w:rsid w:val="001521F4"/>
    <w:rsid w:val="00157EBD"/>
    <w:rsid w:val="001605A1"/>
    <w:rsid w:val="00163DA4"/>
    <w:rsid w:val="00166190"/>
    <w:rsid w:val="00167229"/>
    <w:rsid w:val="00177086"/>
    <w:rsid w:val="001839EE"/>
    <w:rsid w:val="00194034"/>
    <w:rsid w:val="001A01AB"/>
    <w:rsid w:val="001A3D43"/>
    <w:rsid w:val="001A7AA0"/>
    <w:rsid w:val="001B427A"/>
    <w:rsid w:val="001B6EEA"/>
    <w:rsid w:val="001C3311"/>
    <w:rsid w:val="001C76DE"/>
    <w:rsid w:val="001D1157"/>
    <w:rsid w:val="001D160A"/>
    <w:rsid w:val="001D23FF"/>
    <w:rsid w:val="001D4E11"/>
    <w:rsid w:val="001E0D69"/>
    <w:rsid w:val="001F4483"/>
    <w:rsid w:val="001F59A6"/>
    <w:rsid w:val="00206878"/>
    <w:rsid w:val="002078F8"/>
    <w:rsid w:val="002103A0"/>
    <w:rsid w:val="002104A7"/>
    <w:rsid w:val="00212CEE"/>
    <w:rsid w:val="0021757E"/>
    <w:rsid w:val="002239B8"/>
    <w:rsid w:val="002243EF"/>
    <w:rsid w:val="0022450B"/>
    <w:rsid w:val="002370F7"/>
    <w:rsid w:val="00243DEC"/>
    <w:rsid w:val="00243E6D"/>
    <w:rsid w:val="0024582B"/>
    <w:rsid w:val="00250309"/>
    <w:rsid w:val="002543D9"/>
    <w:rsid w:val="00267524"/>
    <w:rsid w:val="00267694"/>
    <w:rsid w:val="002718B9"/>
    <w:rsid w:val="00273E39"/>
    <w:rsid w:val="00274F4D"/>
    <w:rsid w:val="00276AF4"/>
    <w:rsid w:val="00281AFB"/>
    <w:rsid w:val="00282D38"/>
    <w:rsid w:val="00291997"/>
    <w:rsid w:val="002A678E"/>
    <w:rsid w:val="002A6F32"/>
    <w:rsid w:val="002B499C"/>
    <w:rsid w:val="002B5B96"/>
    <w:rsid w:val="002C10E1"/>
    <w:rsid w:val="002D2016"/>
    <w:rsid w:val="002D3416"/>
    <w:rsid w:val="002D5010"/>
    <w:rsid w:val="002D6F93"/>
    <w:rsid w:val="002F1E4D"/>
    <w:rsid w:val="002F4253"/>
    <w:rsid w:val="002F7EA6"/>
    <w:rsid w:val="0030162D"/>
    <w:rsid w:val="00303A1F"/>
    <w:rsid w:val="003101D4"/>
    <w:rsid w:val="00311B47"/>
    <w:rsid w:val="0032033F"/>
    <w:rsid w:val="00326966"/>
    <w:rsid w:val="003279D4"/>
    <w:rsid w:val="00332AB5"/>
    <w:rsid w:val="0034086A"/>
    <w:rsid w:val="00341892"/>
    <w:rsid w:val="0034568C"/>
    <w:rsid w:val="00346C97"/>
    <w:rsid w:val="003602CD"/>
    <w:rsid w:val="0036285A"/>
    <w:rsid w:val="00370078"/>
    <w:rsid w:val="00370BFE"/>
    <w:rsid w:val="0037130F"/>
    <w:rsid w:val="003739F7"/>
    <w:rsid w:val="003743C8"/>
    <w:rsid w:val="00376792"/>
    <w:rsid w:val="00377F8D"/>
    <w:rsid w:val="003855AE"/>
    <w:rsid w:val="00392723"/>
    <w:rsid w:val="003A2016"/>
    <w:rsid w:val="003A2EE4"/>
    <w:rsid w:val="003A67F3"/>
    <w:rsid w:val="003A76F5"/>
    <w:rsid w:val="003B296E"/>
    <w:rsid w:val="003B32FB"/>
    <w:rsid w:val="003B52B1"/>
    <w:rsid w:val="003C4FF2"/>
    <w:rsid w:val="003C64FF"/>
    <w:rsid w:val="003C771A"/>
    <w:rsid w:val="003C7892"/>
    <w:rsid w:val="003C7A36"/>
    <w:rsid w:val="003D421C"/>
    <w:rsid w:val="003D6C97"/>
    <w:rsid w:val="003D729A"/>
    <w:rsid w:val="003E04BC"/>
    <w:rsid w:val="003E2ABF"/>
    <w:rsid w:val="003F1161"/>
    <w:rsid w:val="003F1E10"/>
    <w:rsid w:val="003F244C"/>
    <w:rsid w:val="003F6A4C"/>
    <w:rsid w:val="00400300"/>
    <w:rsid w:val="004060C7"/>
    <w:rsid w:val="00407F58"/>
    <w:rsid w:val="00416CD4"/>
    <w:rsid w:val="0042108F"/>
    <w:rsid w:val="004279F9"/>
    <w:rsid w:val="00433CB9"/>
    <w:rsid w:val="00434ECD"/>
    <w:rsid w:val="004359F6"/>
    <w:rsid w:val="00440A73"/>
    <w:rsid w:val="00441C80"/>
    <w:rsid w:val="004443C7"/>
    <w:rsid w:val="00445AA2"/>
    <w:rsid w:val="004531CD"/>
    <w:rsid w:val="00460410"/>
    <w:rsid w:val="004654D0"/>
    <w:rsid w:val="004658E2"/>
    <w:rsid w:val="0046688A"/>
    <w:rsid w:val="00466A53"/>
    <w:rsid w:val="00471093"/>
    <w:rsid w:val="004801DD"/>
    <w:rsid w:val="00491926"/>
    <w:rsid w:val="004925DE"/>
    <w:rsid w:val="00492AE2"/>
    <w:rsid w:val="004C2A3F"/>
    <w:rsid w:val="004C317E"/>
    <w:rsid w:val="004D0D65"/>
    <w:rsid w:val="004D67E4"/>
    <w:rsid w:val="004E2F10"/>
    <w:rsid w:val="004E5F98"/>
    <w:rsid w:val="004E6A62"/>
    <w:rsid w:val="004E6EE9"/>
    <w:rsid w:val="004F4DCB"/>
    <w:rsid w:val="00500E4E"/>
    <w:rsid w:val="0050514F"/>
    <w:rsid w:val="00510816"/>
    <w:rsid w:val="00513BD6"/>
    <w:rsid w:val="00516CB5"/>
    <w:rsid w:val="00517037"/>
    <w:rsid w:val="00520C3A"/>
    <w:rsid w:val="00521D0B"/>
    <w:rsid w:val="0052337D"/>
    <w:rsid w:val="00523ED6"/>
    <w:rsid w:val="00525389"/>
    <w:rsid w:val="005319ED"/>
    <w:rsid w:val="00531B70"/>
    <w:rsid w:val="00535D50"/>
    <w:rsid w:val="00543F80"/>
    <w:rsid w:val="00544A7B"/>
    <w:rsid w:val="005477EA"/>
    <w:rsid w:val="00551736"/>
    <w:rsid w:val="0055512D"/>
    <w:rsid w:val="0056267C"/>
    <w:rsid w:val="00564F9C"/>
    <w:rsid w:val="00567458"/>
    <w:rsid w:val="00567F78"/>
    <w:rsid w:val="00572CFB"/>
    <w:rsid w:val="00573902"/>
    <w:rsid w:val="00575436"/>
    <w:rsid w:val="00581E3C"/>
    <w:rsid w:val="00587584"/>
    <w:rsid w:val="00587F2B"/>
    <w:rsid w:val="00590FD5"/>
    <w:rsid w:val="00591CD0"/>
    <w:rsid w:val="005B09C7"/>
    <w:rsid w:val="005B3293"/>
    <w:rsid w:val="005B4725"/>
    <w:rsid w:val="005C1792"/>
    <w:rsid w:val="005D070A"/>
    <w:rsid w:val="005D4C46"/>
    <w:rsid w:val="005D6E7A"/>
    <w:rsid w:val="005E33EA"/>
    <w:rsid w:val="005E51D5"/>
    <w:rsid w:val="005E660F"/>
    <w:rsid w:val="00600037"/>
    <w:rsid w:val="0060100D"/>
    <w:rsid w:val="00602A8D"/>
    <w:rsid w:val="00605BAE"/>
    <w:rsid w:val="0061207B"/>
    <w:rsid w:val="00613F4E"/>
    <w:rsid w:val="00617B1F"/>
    <w:rsid w:val="00626401"/>
    <w:rsid w:val="00632836"/>
    <w:rsid w:val="006371AA"/>
    <w:rsid w:val="00653B94"/>
    <w:rsid w:val="00653FF6"/>
    <w:rsid w:val="00656E29"/>
    <w:rsid w:val="0066167E"/>
    <w:rsid w:val="00675C91"/>
    <w:rsid w:val="00676A16"/>
    <w:rsid w:val="00676CBF"/>
    <w:rsid w:val="00680036"/>
    <w:rsid w:val="00680BAD"/>
    <w:rsid w:val="00680BE2"/>
    <w:rsid w:val="00683E9D"/>
    <w:rsid w:val="006848BB"/>
    <w:rsid w:val="00686494"/>
    <w:rsid w:val="0069126C"/>
    <w:rsid w:val="00691382"/>
    <w:rsid w:val="00691982"/>
    <w:rsid w:val="0069224F"/>
    <w:rsid w:val="00697F65"/>
    <w:rsid w:val="006A2C41"/>
    <w:rsid w:val="006B2B29"/>
    <w:rsid w:val="006B60D5"/>
    <w:rsid w:val="006C393C"/>
    <w:rsid w:val="006C78B3"/>
    <w:rsid w:val="006D20B7"/>
    <w:rsid w:val="006D546A"/>
    <w:rsid w:val="006D7BC0"/>
    <w:rsid w:val="006E0D83"/>
    <w:rsid w:val="006E34B8"/>
    <w:rsid w:val="006F0259"/>
    <w:rsid w:val="006F3263"/>
    <w:rsid w:val="006F59F8"/>
    <w:rsid w:val="006F6194"/>
    <w:rsid w:val="0070300D"/>
    <w:rsid w:val="007102E7"/>
    <w:rsid w:val="00717007"/>
    <w:rsid w:val="0072148E"/>
    <w:rsid w:val="0072434D"/>
    <w:rsid w:val="00724632"/>
    <w:rsid w:val="0072605A"/>
    <w:rsid w:val="007318FA"/>
    <w:rsid w:val="0073191B"/>
    <w:rsid w:val="007376CE"/>
    <w:rsid w:val="007423BE"/>
    <w:rsid w:val="00751676"/>
    <w:rsid w:val="00754789"/>
    <w:rsid w:val="0075496E"/>
    <w:rsid w:val="007549AE"/>
    <w:rsid w:val="00763C09"/>
    <w:rsid w:val="0076678C"/>
    <w:rsid w:val="00766A4D"/>
    <w:rsid w:val="00774553"/>
    <w:rsid w:val="00774F67"/>
    <w:rsid w:val="00776A1D"/>
    <w:rsid w:val="007A1DEE"/>
    <w:rsid w:val="007A22DA"/>
    <w:rsid w:val="007A22FD"/>
    <w:rsid w:val="007A4346"/>
    <w:rsid w:val="007B0E43"/>
    <w:rsid w:val="007B7665"/>
    <w:rsid w:val="007C458B"/>
    <w:rsid w:val="007C5E94"/>
    <w:rsid w:val="007D080B"/>
    <w:rsid w:val="007D0F29"/>
    <w:rsid w:val="007D412F"/>
    <w:rsid w:val="007E202A"/>
    <w:rsid w:val="007E22F9"/>
    <w:rsid w:val="007E4C08"/>
    <w:rsid w:val="007E5178"/>
    <w:rsid w:val="007F3E45"/>
    <w:rsid w:val="00802800"/>
    <w:rsid w:val="008038F5"/>
    <w:rsid w:val="00814227"/>
    <w:rsid w:val="0081697F"/>
    <w:rsid w:val="00820F28"/>
    <w:rsid w:val="008221F0"/>
    <w:rsid w:val="00822813"/>
    <w:rsid w:val="008326F7"/>
    <w:rsid w:val="00834CBF"/>
    <w:rsid w:val="00834E99"/>
    <w:rsid w:val="0084276E"/>
    <w:rsid w:val="008459AE"/>
    <w:rsid w:val="008474B9"/>
    <w:rsid w:val="00856E73"/>
    <w:rsid w:val="00856EFA"/>
    <w:rsid w:val="0086014B"/>
    <w:rsid w:val="00860EBD"/>
    <w:rsid w:val="008675A3"/>
    <w:rsid w:val="008676E4"/>
    <w:rsid w:val="008729FB"/>
    <w:rsid w:val="0087521C"/>
    <w:rsid w:val="00877075"/>
    <w:rsid w:val="00877B59"/>
    <w:rsid w:val="00880304"/>
    <w:rsid w:val="00881B54"/>
    <w:rsid w:val="008825CB"/>
    <w:rsid w:val="00884027"/>
    <w:rsid w:val="00884146"/>
    <w:rsid w:val="00892310"/>
    <w:rsid w:val="008925E7"/>
    <w:rsid w:val="00897614"/>
    <w:rsid w:val="008A119A"/>
    <w:rsid w:val="008A434C"/>
    <w:rsid w:val="008C00AA"/>
    <w:rsid w:val="008D08F7"/>
    <w:rsid w:val="008D55BF"/>
    <w:rsid w:val="008F0AF1"/>
    <w:rsid w:val="008F3BA7"/>
    <w:rsid w:val="008F6717"/>
    <w:rsid w:val="008F7458"/>
    <w:rsid w:val="009061BE"/>
    <w:rsid w:val="00911366"/>
    <w:rsid w:val="00911D31"/>
    <w:rsid w:val="00922F68"/>
    <w:rsid w:val="009302C1"/>
    <w:rsid w:val="009317A1"/>
    <w:rsid w:val="00933E63"/>
    <w:rsid w:val="009423AD"/>
    <w:rsid w:val="0094340E"/>
    <w:rsid w:val="00945582"/>
    <w:rsid w:val="00945C8E"/>
    <w:rsid w:val="00953140"/>
    <w:rsid w:val="009653FC"/>
    <w:rsid w:val="0098199C"/>
    <w:rsid w:val="00981BA9"/>
    <w:rsid w:val="00982E48"/>
    <w:rsid w:val="00984665"/>
    <w:rsid w:val="00985AD6"/>
    <w:rsid w:val="00995E7C"/>
    <w:rsid w:val="009A3BE7"/>
    <w:rsid w:val="009A4536"/>
    <w:rsid w:val="009A55D0"/>
    <w:rsid w:val="009B3407"/>
    <w:rsid w:val="009B4BBA"/>
    <w:rsid w:val="009B5EDF"/>
    <w:rsid w:val="009C427C"/>
    <w:rsid w:val="009E4AA8"/>
    <w:rsid w:val="009E51F9"/>
    <w:rsid w:val="009E609F"/>
    <w:rsid w:val="009E7ED0"/>
    <w:rsid w:val="009F1BED"/>
    <w:rsid w:val="009F4EC2"/>
    <w:rsid w:val="00A0187E"/>
    <w:rsid w:val="00A06F6B"/>
    <w:rsid w:val="00A13370"/>
    <w:rsid w:val="00A168D8"/>
    <w:rsid w:val="00A23A87"/>
    <w:rsid w:val="00A25E75"/>
    <w:rsid w:val="00A32761"/>
    <w:rsid w:val="00A32E1F"/>
    <w:rsid w:val="00A401BE"/>
    <w:rsid w:val="00A42082"/>
    <w:rsid w:val="00A42575"/>
    <w:rsid w:val="00A46052"/>
    <w:rsid w:val="00A50263"/>
    <w:rsid w:val="00A52B53"/>
    <w:rsid w:val="00A54C22"/>
    <w:rsid w:val="00A62300"/>
    <w:rsid w:val="00A62380"/>
    <w:rsid w:val="00A65494"/>
    <w:rsid w:val="00A6556C"/>
    <w:rsid w:val="00A67DF6"/>
    <w:rsid w:val="00A800F8"/>
    <w:rsid w:val="00AA23CA"/>
    <w:rsid w:val="00AA4F6B"/>
    <w:rsid w:val="00AA6F53"/>
    <w:rsid w:val="00AA7705"/>
    <w:rsid w:val="00AB66CE"/>
    <w:rsid w:val="00AB7F26"/>
    <w:rsid w:val="00AC0955"/>
    <w:rsid w:val="00AD453E"/>
    <w:rsid w:val="00AE0108"/>
    <w:rsid w:val="00AE2E77"/>
    <w:rsid w:val="00AF6E34"/>
    <w:rsid w:val="00B00A2D"/>
    <w:rsid w:val="00B00E72"/>
    <w:rsid w:val="00B01123"/>
    <w:rsid w:val="00B02F7A"/>
    <w:rsid w:val="00B039D7"/>
    <w:rsid w:val="00B060C9"/>
    <w:rsid w:val="00B07C5F"/>
    <w:rsid w:val="00B30A5D"/>
    <w:rsid w:val="00B3104D"/>
    <w:rsid w:val="00B340D5"/>
    <w:rsid w:val="00B451C7"/>
    <w:rsid w:val="00B547A4"/>
    <w:rsid w:val="00B54B8D"/>
    <w:rsid w:val="00B6045B"/>
    <w:rsid w:val="00B6202B"/>
    <w:rsid w:val="00B628AB"/>
    <w:rsid w:val="00B62AB1"/>
    <w:rsid w:val="00B6727B"/>
    <w:rsid w:val="00B725E4"/>
    <w:rsid w:val="00B738AE"/>
    <w:rsid w:val="00B77BBB"/>
    <w:rsid w:val="00B8761A"/>
    <w:rsid w:val="00B9003B"/>
    <w:rsid w:val="00B90F05"/>
    <w:rsid w:val="00BA0FE1"/>
    <w:rsid w:val="00BA14A2"/>
    <w:rsid w:val="00BA6416"/>
    <w:rsid w:val="00BA6483"/>
    <w:rsid w:val="00BB0486"/>
    <w:rsid w:val="00BB1657"/>
    <w:rsid w:val="00BB21A8"/>
    <w:rsid w:val="00BB256F"/>
    <w:rsid w:val="00BB25F3"/>
    <w:rsid w:val="00BB7066"/>
    <w:rsid w:val="00BC5E78"/>
    <w:rsid w:val="00BD162F"/>
    <w:rsid w:val="00BD4D24"/>
    <w:rsid w:val="00BE3997"/>
    <w:rsid w:val="00BF0085"/>
    <w:rsid w:val="00BF1DEA"/>
    <w:rsid w:val="00BF6D86"/>
    <w:rsid w:val="00C00FD8"/>
    <w:rsid w:val="00C05D88"/>
    <w:rsid w:val="00C1003E"/>
    <w:rsid w:val="00C17188"/>
    <w:rsid w:val="00C23D9E"/>
    <w:rsid w:val="00C35A0E"/>
    <w:rsid w:val="00C4398C"/>
    <w:rsid w:val="00C4493A"/>
    <w:rsid w:val="00C51ECA"/>
    <w:rsid w:val="00C54381"/>
    <w:rsid w:val="00C55EC4"/>
    <w:rsid w:val="00C60B8E"/>
    <w:rsid w:val="00C62088"/>
    <w:rsid w:val="00C62135"/>
    <w:rsid w:val="00C63233"/>
    <w:rsid w:val="00C64BD8"/>
    <w:rsid w:val="00C77192"/>
    <w:rsid w:val="00C82BB6"/>
    <w:rsid w:val="00C82FDF"/>
    <w:rsid w:val="00C83C26"/>
    <w:rsid w:val="00C91B4A"/>
    <w:rsid w:val="00C922F4"/>
    <w:rsid w:val="00C94755"/>
    <w:rsid w:val="00C96C5C"/>
    <w:rsid w:val="00CA11BF"/>
    <w:rsid w:val="00CB123E"/>
    <w:rsid w:val="00CC1B5A"/>
    <w:rsid w:val="00CC1DA3"/>
    <w:rsid w:val="00CC277D"/>
    <w:rsid w:val="00CD4F1A"/>
    <w:rsid w:val="00CD718B"/>
    <w:rsid w:val="00CD77B1"/>
    <w:rsid w:val="00CF1DCE"/>
    <w:rsid w:val="00CF4DF9"/>
    <w:rsid w:val="00CF506D"/>
    <w:rsid w:val="00CF63B9"/>
    <w:rsid w:val="00CF7356"/>
    <w:rsid w:val="00D01721"/>
    <w:rsid w:val="00D04E73"/>
    <w:rsid w:val="00D05A26"/>
    <w:rsid w:val="00D05A32"/>
    <w:rsid w:val="00D1725E"/>
    <w:rsid w:val="00D20779"/>
    <w:rsid w:val="00D23767"/>
    <w:rsid w:val="00D260C2"/>
    <w:rsid w:val="00D27416"/>
    <w:rsid w:val="00D3190A"/>
    <w:rsid w:val="00D31CC9"/>
    <w:rsid w:val="00D34D5B"/>
    <w:rsid w:val="00D42029"/>
    <w:rsid w:val="00D442BE"/>
    <w:rsid w:val="00D457F0"/>
    <w:rsid w:val="00D55300"/>
    <w:rsid w:val="00D56640"/>
    <w:rsid w:val="00D624CC"/>
    <w:rsid w:val="00D64615"/>
    <w:rsid w:val="00D71998"/>
    <w:rsid w:val="00D71E35"/>
    <w:rsid w:val="00D72106"/>
    <w:rsid w:val="00D762CC"/>
    <w:rsid w:val="00D80593"/>
    <w:rsid w:val="00D82A32"/>
    <w:rsid w:val="00D87FAF"/>
    <w:rsid w:val="00DA0816"/>
    <w:rsid w:val="00DA1CAD"/>
    <w:rsid w:val="00DB01F8"/>
    <w:rsid w:val="00DB0E5F"/>
    <w:rsid w:val="00DB61AC"/>
    <w:rsid w:val="00DB6969"/>
    <w:rsid w:val="00DC4983"/>
    <w:rsid w:val="00DC7E3F"/>
    <w:rsid w:val="00DD5B19"/>
    <w:rsid w:val="00DD7CC8"/>
    <w:rsid w:val="00DD7D24"/>
    <w:rsid w:val="00DE5F01"/>
    <w:rsid w:val="00DF1E35"/>
    <w:rsid w:val="00DF23FC"/>
    <w:rsid w:val="00DF380C"/>
    <w:rsid w:val="00E115CD"/>
    <w:rsid w:val="00E20CA0"/>
    <w:rsid w:val="00E21298"/>
    <w:rsid w:val="00E221F4"/>
    <w:rsid w:val="00E301F0"/>
    <w:rsid w:val="00E312E3"/>
    <w:rsid w:val="00E3728B"/>
    <w:rsid w:val="00E4147F"/>
    <w:rsid w:val="00E42276"/>
    <w:rsid w:val="00E438A9"/>
    <w:rsid w:val="00E43E82"/>
    <w:rsid w:val="00E456E8"/>
    <w:rsid w:val="00E4666C"/>
    <w:rsid w:val="00E551A1"/>
    <w:rsid w:val="00E61B29"/>
    <w:rsid w:val="00E65741"/>
    <w:rsid w:val="00E71274"/>
    <w:rsid w:val="00E749C7"/>
    <w:rsid w:val="00E75620"/>
    <w:rsid w:val="00E76237"/>
    <w:rsid w:val="00E76323"/>
    <w:rsid w:val="00E77320"/>
    <w:rsid w:val="00E874EF"/>
    <w:rsid w:val="00E87E31"/>
    <w:rsid w:val="00E92B4A"/>
    <w:rsid w:val="00EA2248"/>
    <w:rsid w:val="00EB1E33"/>
    <w:rsid w:val="00EB1EBC"/>
    <w:rsid w:val="00EB3145"/>
    <w:rsid w:val="00EB70C6"/>
    <w:rsid w:val="00EB7D1B"/>
    <w:rsid w:val="00EC4B7C"/>
    <w:rsid w:val="00EC73E7"/>
    <w:rsid w:val="00EC7D18"/>
    <w:rsid w:val="00ED409A"/>
    <w:rsid w:val="00ED6733"/>
    <w:rsid w:val="00EE13EA"/>
    <w:rsid w:val="00EE3D56"/>
    <w:rsid w:val="00EF18DA"/>
    <w:rsid w:val="00EF2172"/>
    <w:rsid w:val="00EF272E"/>
    <w:rsid w:val="00EF310E"/>
    <w:rsid w:val="00F069D2"/>
    <w:rsid w:val="00F06C36"/>
    <w:rsid w:val="00F06FA2"/>
    <w:rsid w:val="00F11686"/>
    <w:rsid w:val="00F15496"/>
    <w:rsid w:val="00F157FD"/>
    <w:rsid w:val="00F21690"/>
    <w:rsid w:val="00F21E8F"/>
    <w:rsid w:val="00F23C7C"/>
    <w:rsid w:val="00F248C5"/>
    <w:rsid w:val="00F26462"/>
    <w:rsid w:val="00F32775"/>
    <w:rsid w:val="00F33941"/>
    <w:rsid w:val="00F35513"/>
    <w:rsid w:val="00F36B48"/>
    <w:rsid w:val="00F423C9"/>
    <w:rsid w:val="00F43959"/>
    <w:rsid w:val="00F43C16"/>
    <w:rsid w:val="00F44837"/>
    <w:rsid w:val="00F4487F"/>
    <w:rsid w:val="00F50ED1"/>
    <w:rsid w:val="00F53A28"/>
    <w:rsid w:val="00F6200D"/>
    <w:rsid w:val="00F62197"/>
    <w:rsid w:val="00F67590"/>
    <w:rsid w:val="00F700BF"/>
    <w:rsid w:val="00F7451E"/>
    <w:rsid w:val="00F74E26"/>
    <w:rsid w:val="00F8360C"/>
    <w:rsid w:val="00F901AF"/>
    <w:rsid w:val="00F91966"/>
    <w:rsid w:val="00F93725"/>
    <w:rsid w:val="00F949B6"/>
    <w:rsid w:val="00FA2372"/>
    <w:rsid w:val="00FA24C9"/>
    <w:rsid w:val="00FA737A"/>
    <w:rsid w:val="00FB2F4B"/>
    <w:rsid w:val="00FB34AB"/>
    <w:rsid w:val="00FB53FF"/>
    <w:rsid w:val="00FD08BA"/>
    <w:rsid w:val="00FD3B82"/>
    <w:rsid w:val="00FD5670"/>
    <w:rsid w:val="00FE1FFF"/>
    <w:rsid w:val="00FF007E"/>
    <w:rsid w:val="00FF14FB"/>
    <w:rsid w:val="00FF32DC"/>
    <w:rsid w:val="00FF3465"/>
    <w:rsid w:val="54EF4B27"/>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4FE01"/>
  <w15:docId w15:val="{CAC5B831-9DF2-44C9-BAD7-21AE1EC8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0" w:defSemiHidden="0" w:defUnhideWhenUsed="0" w:defQFormat="0" w:count="376">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458"/>
  </w:style>
  <w:style w:type="paragraph" w:styleId="Heading1">
    <w:name w:val="heading 1"/>
    <w:basedOn w:val="Normal"/>
    <w:next w:val="Normal"/>
    <w:link w:val="Heading1Char"/>
    <w:uiPriority w:val="9"/>
    <w:qFormat/>
    <w:rsid w:val="005D4C46"/>
    <w:pPr>
      <w:keepNext/>
      <w:keepLines/>
      <w:numPr>
        <w:numId w:val="8"/>
      </w:numPr>
      <w:spacing w:before="240" w:after="0"/>
      <w:ind w:left="142" w:hanging="284"/>
      <w:outlineLvl w:val="0"/>
    </w:pPr>
    <w:rPr>
      <w:rFonts w:eastAsiaTheme="majorEastAsia" w:cstheme="minorHAnsi"/>
      <w:color w:val="008A97"/>
      <w:kern w:val="0"/>
      <w:sz w:val="28"/>
      <w:szCs w:val="28"/>
      <w:lang w:val="en-US"/>
    </w:rPr>
  </w:style>
  <w:style w:type="paragraph" w:styleId="Heading2">
    <w:name w:val="heading 2"/>
    <w:basedOn w:val="Normal"/>
    <w:next w:val="Normal"/>
    <w:link w:val="Heading2Char"/>
    <w:uiPriority w:val="9"/>
    <w:unhideWhenUsed/>
    <w:qFormat/>
    <w:rsid w:val="00CF7356"/>
    <w:pPr>
      <w:spacing w:after="0"/>
      <w:ind w:right="17"/>
      <w:jc w:val="both"/>
      <w:outlineLvl w:val="1"/>
    </w:pPr>
    <w:rPr>
      <w:color w:val="1F3864" w:themeColor="accent1" w:themeShade="80"/>
      <w:sz w:val="24"/>
      <w:szCs w:val="24"/>
    </w:rPr>
  </w:style>
  <w:style w:type="paragraph" w:styleId="Heading4">
    <w:name w:val="heading 4"/>
    <w:basedOn w:val="Normal"/>
    <w:link w:val="Heading4Char"/>
    <w:uiPriority w:val="9"/>
    <w:qFormat/>
    <w:rsid w:val="00CD718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462"/>
    <w:rPr>
      <w:color w:val="0563C1" w:themeColor="hyperlink"/>
      <w:u w:val="single"/>
    </w:rPr>
  </w:style>
  <w:style w:type="character" w:customStyle="1" w:styleId="UnresolvedMention1">
    <w:name w:val="Unresolved Mention1"/>
    <w:basedOn w:val="DefaultParagraphFont"/>
    <w:uiPriority w:val="99"/>
    <w:semiHidden/>
    <w:unhideWhenUsed/>
    <w:rsid w:val="00F26462"/>
    <w:rPr>
      <w:color w:val="605E5C"/>
      <w:shd w:val="clear" w:color="auto" w:fill="E1DFDD"/>
    </w:rPr>
  </w:style>
  <w:style w:type="paragraph" w:styleId="NoSpacing">
    <w:name w:val="No Spacing"/>
    <w:link w:val="NoSpacingChar"/>
    <w:uiPriority w:val="1"/>
    <w:qFormat/>
    <w:rsid w:val="00513BD6"/>
    <w:pPr>
      <w:spacing w:after="0" w:line="240" w:lineRule="auto"/>
    </w:pPr>
    <w:rPr>
      <w:kern w:val="0"/>
    </w:rPr>
  </w:style>
  <w:style w:type="character" w:customStyle="1" w:styleId="NoSpacingChar">
    <w:name w:val="No Spacing Char"/>
    <w:basedOn w:val="DefaultParagraphFont"/>
    <w:link w:val="NoSpacing"/>
    <w:uiPriority w:val="1"/>
    <w:rsid w:val="00513BD6"/>
    <w:rPr>
      <w:kern w:val="0"/>
    </w:rPr>
  </w:style>
  <w:style w:type="paragraph" w:styleId="ListParagraph">
    <w:name w:val="List Paragraph"/>
    <w:aliases w:val="table bullets,Dot pt,F5 List Paragraph,List Paragraph Char Char Char,Indicator Text,Numbered Para 1,Bullet 1,Bullet Points,List Paragraph2,MAIN CONTENT,Normal numbered,List Paragraph1,Recommendation,List Paragraph11,Liste 1,L"/>
    <w:basedOn w:val="Normal"/>
    <w:link w:val="ListParagraphChar"/>
    <w:uiPriority w:val="34"/>
    <w:qFormat/>
    <w:rsid w:val="00B00E72"/>
    <w:pPr>
      <w:ind w:left="720"/>
      <w:contextualSpacing/>
    </w:pPr>
    <w:rPr>
      <w:kern w:val="0"/>
    </w:rPr>
  </w:style>
  <w:style w:type="character" w:styleId="Strong">
    <w:name w:val="Strong"/>
    <w:basedOn w:val="DefaultParagraphFont"/>
    <w:uiPriority w:val="22"/>
    <w:qFormat/>
    <w:rsid w:val="00B00E72"/>
    <w:rPr>
      <w:b/>
      <w:bCs/>
    </w:rPr>
  </w:style>
  <w:style w:type="character" w:customStyle="1" w:styleId="Heading4Char">
    <w:name w:val="Heading 4 Char"/>
    <w:basedOn w:val="DefaultParagraphFont"/>
    <w:link w:val="Heading4"/>
    <w:uiPriority w:val="9"/>
    <w:rsid w:val="00CD718B"/>
    <w:rPr>
      <w:rFonts w:ascii="Times New Roman" w:eastAsia="Times New Roman" w:hAnsi="Times New Roman" w:cs="Times New Roman"/>
      <w:b/>
      <w:bCs/>
      <w:kern w:val="0"/>
      <w:sz w:val="24"/>
      <w:szCs w:val="24"/>
      <w:lang w:eastAsia="en-CA"/>
    </w:rPr>
  </w:style>
  <w:style w:type="paragraph" w:styleId="NormalWeb">
    <w:name w:val="Normal (Web)"/>
    <w:basedOn w:val="Normal"/>
    <w:uiPriority w:val="99"/>
    <w:unhideWhenUsed/>
    <w:rsid w:val="00CD718B"/>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character" w:styleId="FollowedHyperlink">
    <w:name w:val="FollowedHyperlink"/>
    <w:basedOn w:val="DefaultParagraphFont"/>
    <w:uiPriority w:val="99"/>
    <w:semiHidden/>
    <w:unhideWhenUsed/>
    <w:rsid w:val="00691382"/>
    <w:rPr>
      <w:color w:val="954F72" w:themeColor="followedHyperlink"/>
      <w:u w:val="single"/>
    </w:rPr>
  </w:style>
  <w:style w:type="paragraph" w:styleId="Header">
    <w:name w:val="header"/>
    <w:basedOn w:val="Normal"/>
    <w:link w:val="HeaderChar"/>
    <w:uiPriority w:val="99"/>
    <w:unhideWhenUsed/>
    <w:rsid w:val="006E0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D83"/>
  </w:style>
  <w:style w:type="paragraph" w:styleId="Footer">
    <w:name w:val="footer"/>
    <w:basedOn w:val="Normal"/>
    <w:link w:val="FooterChar"/>
    <w:uiPriority w:val="99"/>
    <w:unhideWhenUsed/>
    <w:rsid w:val="006E0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D83"/>
  </w:style>
  <w:style w:type="character" w:customStyle="1" w:styleId="Heading1Char">
    <w:name w:val="Heading 1 Char"/>
    <w:basedOn w:val="DefaultParagraphFont"/>
    <w:link w:val="Heading1"/>
    <w:uiPriority w:val="9"/>
    <w:rsid w:val="005D4C46"/>
    <w:rPr>
      <w:rFonts w:eastAsiaTheme="majorEastAsia" w:cstheme="minorHAnsi"/>
      <w:color w:val="008A97"/>
      <w:kern w:val="0"/>
      <w:sz w:val="28"/>
      <w:szCs w:val="28"/>
      <w:lang w:val="en-US"/>
    </w:rPr>
  </w:style>
  <w:style w:type="paragraph" w:styleId="TOCHeading">
    <w:name w:val="TOC Heading"/>
    <w:basedOn w:val="Normal"/>
    <w:next w:val="Normal"/>
    <w:uiPriority w:val="39"/>
    <w:unhideWhenUsed/>
    <w:qFormat/>
    <w:rsid w:val="005D4C46"/>
    <w:rPr>
      <w:color w:val="008A97"/>
      <w:kern w:val="0"/>
      <w:sz w:val="28"/>
      <w:lang w:val="en-US"/>
    </w:rPr>
  </w:style>
  <w:style w:type="paragraph" w:styleId="TOC2">
    <w:name w:val="toc 2"/>
    <w:basedOn w:val="Normal"/>
    <w:next w:val="Normal"/>
    <w:autoRedefine/>
    <w:uiPriority w:val="39"/>
    <w:unhideWhenUsed/>
    <w:rsid w:val="003F1E10"/>
    <w:pPr>
      <w:spacing w:after="100"/>
      <w:ind w:left="220"/>
    </w:pPr>
    <w:rPr>
      <w:rFonts w:eastAsiaTheme="minorEastAsia" w:cs="Times New Roman"/>
      <w:kern w:val="0"/>
      <w:lang w:val="en-US"/>
    </w:rPr>
  </w:style>
  <w:style w:type="paragraph" w:styleId="TOC1">
    <w:name w:val="toc 1"/>
    <w:basedOn w:val="Normal"/>
    <w:next w:val="Normal"/>
    <w:autoRedefine/>
    <w:uiPriority w:val="39"/>
    <w:unhideWhenUsed/>
    <w:rsid w:val="003F1E10"/>
    <w:pPr>
      <w:spacing w:after="100"/>
    </w:pPr>
    <w:rPr>
      <w:rFonts w:eastAsiaTheme="minorEastAsia" w:cs="Times New Roman"/>
      <w:kern w:val="0"/>
      <w:lang w:val="en-US"/>
    </w:rPr>
  </w:style>
  <w:style w:type="paragraph" w:styleId="TOC3">
    <w:name w:val="toc 3"/>
    <w:basedOn w:val="Normal"/>
    <w:next w:val="Normal"/>
    <w:autoRedefine/>
    <w:uiPriority w:val="39"/>
    <w:unhideWhenUsed/>
    <w:rsid w:val="003F1E10"/>
    <w:pPr>
      <w:spacing w:after="100"/>
      <w:ind w:left="440"/>
    </w:pPr>
    <w:rPr>
      <w:rFonts w:eastAsiaTheme="minorEastAsia" w:cs="Times New Roman"/>
      <w:kern w:val="0"/>
      <w:lang w:val="en-US"/>
    </w:rPr>
  </w:style>
  <w:style w:type="paragraph" w:styleId="Revision">
    <w:name w:val="Revision"/>
    <w:hidden/>
    <w:uiPriority w:val="99"/>
    <w:semiHidden/>
    <w:rsid w:val="005D4C46"/>
    <w:pPr>
      <w:spacing w:after="0" w:line="240" w:lineRule="auto"/>
    </w:pPr>
  </w:style>
  <w:style w:type="character" w:customStyle="1" w:styleId="Heading2Char">
    <w:name w:val="Heading 2 Char"/>
    <w:basedOn w:val="DefaultParagraphFont"/>
    <w:link w:val="Heading2"/>
    <w:uiPriority w:val="9"/>
    <w:rsid w:val="00CF7356"/>
    <w:rPr>
      <w:color w:val="1F3864" w:themeColor="accent1" w:themeShade="80"/>
      <w:sz w:val="24"/>
      <w:szCs w:val="24"/>
    </w:rPr>
  </w:style>
  <w:style w:type="character" w:styleId="CommentReference">
    <w:name w:val="annotation reference"/>
    <w:basedOn w:val="DefaultParagraphFont"/>
    <w:uiPriority w:val="99"/>
    <w:semiHidden/>
    <w:unhideWhenUsed/>
    <w:rsid w:val="00CF7356"/>
    <w:rPr>
      <w:sz w:val="16"/>
      <w:szCs w:val="16"/>
    </w:rPr>
  </w:style>
  <w:style w:type="paragraph" w:styleId="CommentText">
    <w:name w:val="annotation text"/>
    <w:basedOn w:val="Normal"/>
    <w:link w:val="CommentTextChar"/>
    <w:uiPriority w:val="99"/>
    <w:unhideWhenUsed/>
    <w:rsid w:val="00CF7356"/>
    <w:pPr>
      <w:spacing w:line="240" w:lineRule="auto"/>
    </w:pPr>
    <w:rPr>
      <w:sz w:val="20"/>
      <w:szCs w:val="20"/>
    </w:rPr>
  </w:style>
  <w:style w:type="character" w:customStyle="1" w:styleId="CommentTextChar">
    <w:name w:val="Comment Text Char"/>
    <w:basedOn w:val="DefaultParagraphFont"/>
    <w:link w:val="CommentText"/>
    <w:uiPriority w:val="99"/>
    <w:rsid w:val="00CF7356"/>
    <w:rPr>
      <w:sz w:val="20"/>
      <w:szCs w:val="20"/>
    </w:rPr>
  </w:style>
  <w:style w:type="paragraph" w:styleId="CommentSubject">
    <w:name w:val="annotation subject"/>
    <w:basedOn w:val="CommentText"/>
    <w:next w:val="CommentText"/>
    <w:link w:val="CommentSubjectChar"/>
    <w:uiPriority w:val="99"/>
    <w:semiHidden/>
    <w:unhideWhenUsed/>
    <w:rsid w:val="00CF7356"/>
    <w:rPr>
      <w:b/>
      <w:bCs/>
    </w:rPr>
  </w:style>
  <w:style w:type="character" w:customStyle="1" w:styleId="CommentSubjectChar">
    <w:name w:val="Comment Subject Char"/>
    <w:basedOn w:val="CommentTextChar"/>
    <w:link w:val="CommentSubject"/>
    <w:uiPriority w:val="99"/>
    <w:semiHidden/>
    <w:rsid w:val="00CF7356"/>
    <w:rPr>
      <w:b/>
      <w:bCs/>
      <w:sz w:val="20"/>
      <w:szCs w:val="20"/>
    </w:rPr>
  </w:style>
  <w:style w:type="character" w:customStyle="1" w:styleId="ListParagraphChar">
    <w:name w:val="List Paragraph Char"/>
    <w:aliases w:val="table bullets Char,Dot pt Char,F5 List Paragraph Char,List Paragraph Char Char Char Char,Indicator Text Char,Numbered Para 1 Char,Bullet 1 Char,Bullet Points Char,List Paragraph2 Char,MAIN CONTENT Char,Normal numbered Char,L Char"/>
    <w:basedOn w:val="DefaultParagraphFont"/>
    <w:link w:val="ListParagraph"/>
    <w:uiPriority w:val="34"/>
    <w:locked/>
    <w:rsid w:val="005B4725"/>
    <w:rPr>
      <w:kern w:val="0"/>
    </w:rPr>
  </w:style>
  <w:style w:type="paragraph" w:customStyle="1" w:styleId="4-body">
    <w:name w:val="4 - body"/>
    <w:basedOn w:val="Normal"/>
    <w:uiPriority w:val="99"/>
    <w:rsid w:val="00F74E26"/>
    <w:pPr>
      <w:suppressAutoHyphens/>
      <w:autoSpaceDE w:val="0"/>
      <w:autoSpaceDN w:val="0"/>
      <w:adjustRightInd w:val="0"/>
      <w:spacing w:after="120" w:line="240" w:lineRule="atLeast"/>
      <w:textAlignment w:val="center"/>
    </w:pPr>
    <w:rPr>
      <w:rFonts w:ascii="JansonText-Roman" w:hAnsi="JansonText-Roman" w:cs="JansonText-Roman"/>
      <w:color w:val="000000"/>
      <w:spacing w:val="-4"/>
      <w:kern w:val="0"/>
      <w:sz w:val="18"/>
      <w:szCs w:val="18"/>
      <w:lang w:val="en-US"/>
    </w:rPr>
  </w:style>
  <w:style w:type="paragraph" w:styleId="HTMLPreformatted">
    <w:name w:val="HTML Preformatted"/>
    <w:basedOn w:val="Normal"/>
    <w:link w:val="HTMLPreformattedChar"/>
    <w:uiPriority w:val="99"/>
    <w:rsid w:val="007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kern w:val="0"/>
      <w:sz w:val="20"/>
      <w:szCs w:val="20"/>
      <w:lang w:val="fr-CA" w:eastAsia="fr-FR"/>
    </w:rPr>
  </w:style>
  <w:style w:type="character" w:customStyle="1" w:styleId="HTMLPreformattedChar">
    <w:name w:val="HTML Preformatted Char"/>
    <w:basedOn w:val="DefaultParagraphFont"/>
    <w:link w:val="HTMLPreformatted"/>
    <w:uiPriority w:val="99"/>
    <w:rsid w:val="007F3E45"/>
    <w:rPr>
      <w:rFonts w:ascii="Courier" w:hAnsi="Courier" w:cs="Courier"/>
      <w:kern w:val="0"/>
      <w:sz w:val="20"/>
      <w:szCs w:val="20"/>
      <w:lang w:val="fr-CA" w:eastAsia="fr-FR"/>
    </w:rPr>
  </w:style>
  <w:style w:type="character" w:customStyle="1" w:styleId="y2iqfc">
    <w:name w:val="y2iqfc"/>
    <w:basedOn w:val="DefaultParagraphFont"/>
    <w:rsid w:val="007F3E45"/>
  </w:style>
  <w:style w:type="character" w:styleId="UnresolvedMention">
    <w:name w:val="Unresolved Mention"/>
    <w:basedOn w:val="DefaultParagraphFont"/>
    <w:uiPriority w:val="99"/>
    <w:semiHidden/>
    <w:unhideWhenUsed/>
    <w:rsid w:val="00F1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4179">
      <w:bodyDiv w:val="1"/>
      <w:marLeft w:val="0"/>
      <w:marRight w:val="0"/>
      <w:marTop w:val="0"/>
      <w:marBottom w:val="0"/>
      <w:divBdr>
        <w:top w:val="none" w:sz="0" w:space="0" w:color="auto"/>
        <w:left w:val="none" w:sz="0" w:space="0" w:color="auto"/>
        <w:bottom w:val="none" w:sz="0" w:space="0" w:color="auto"/>
        <w:right w:val="none" w:sz="0" w:space="0" w:color="auto"/>
      </w:divBdr>
    </w:div>
    <w:div w:id="179204993">
      <w:bodyDiv w:val="1"/>
      <w:marLeft w:val="0"/>
      <w:marRight w:val="0"/>
      <w:marTop w:val="0"/>
      <w:marBottom w:val="0"/>
      <w:divBdr>
        <w:top w:val="none" w:sz="0" w:space="0" w:color="auto"/>
        <w:left w:val="none" w:sz="0" w:space="0" w:color="auto"/>
        <w:bottom w:val="none" w:sz="0" w:space="0" w:color="auto"/>
        <w:right w:val="none" w:sz="0" w:space="0" w:color="auto"/>
      </w:divBdr>
    </w:div>
    <w:div w:id="573007334">
      <w:bodyDiv w:val="1"/>
      <w:marLeft w:val="0"/>
      <w:marRight w:val="0"/>
      <w:marTop w:val="0"/>
      <w:marBottom w:val="0"/>
      <w:divBdr>
        <w:top w:val="none" w:sz="0" w:space="0" w:color="auto"/>
        <w:left w:val="none" w:sz="0" w:space="0" w:color="auto"/>
        <w:bottom w:val="none" w:sz="0" w:space="0" w:color="auto"/>
        <w:right w:val="none" w:sz="0" w:space="0" w:color="auto"/>
      </w:divBdr>
    </w:div>
    <w:div w:id="707415213">
      <w:bodyDiv w:val="1"/>
      <w:marLeft w:val="0"/>
      <w:marRight w:val="0"/>
      <w:marTop w:val="0"/>
      <w:marBottom w:val="0"/>
      <w:divBdr>
        <w:top w:val="none" w:sz="0" w:space="0" w:color="auto"/>
        <w:left w:val="none" w:sz="0" w:space="0" w:color="auto"/>
        <w:bottom w:val="none" w:sz="0" w:space="0" w:color="auto"/>
        <w:right w:val="none" w:sz="0" w:space="0" w:color="auto"/>
      </w:divBdr>
      <w:divsChild>
        <w:div w:id="1406798082">
          <w:marLeft w:val="0"/>
          <w:marRight w:val="0"/>
          <w:marTop w:val="0"/>
          <w:marBottom w:val="0"/>
          <w:divBdr>
            <w:top w:val="none" w:sz="0" w:space="0" w:color="auto"/>
            <w:left w:val="none" w:sz="0" w:space="0" w:color="auto"/>
            <w:bottom w:val="none" w:sz="0" w:space="0" w:color="auto"/>
            <w:right w:val="none" w:sz="0" w:space="0" w:color="auto"/>
          </w:divBdr>
          <w:divsChild>
            <w:div w:id="1290361140">
              <w:marLeft w:val="0"/>
              <w:marRight w:val="0"/>
              <w:marTop w:val="0"/>
              <w:marBottom w:val="0"/>
              <w:divBdr>
                <w:top w:val="none" w:sz="0" w:space="0" w:color="auto"/>
                <w:left w:val="none" w:sz="0" w:space="0" w:color="auto"/>
                <w:bottom w:val="none" w:sz="0" w:space="0" w:color="auto"/>
                <w:right w:val="none" w:sz="0" w:space="0" w:color="auto"/>
              </w:divBdr>
              <w:divsChild>
                <w:div w:id="1930312066">
                  <w:marLeft w:val="0"/>
                  <w:marRight w:val="0"/>
                  <w:marTop w:val="0"/>
                  <w:marBottom w:val="0"/>
                  <w:divBdr>
                    <w:top w:val="none" w:sz="0" w:space="0" w:color="auto"/>
                    <w:left w:val="none" w:sz="0" w:space="0" w:color="auto"/>
                    <w:bottom w:val="none" w:sz="0" w:space="0" w:color="auto"/>
                    <w:right w:val="none" w:sz="0" w:space="0" w:color="auto"/>
                  </w:divBdr>
                  <w:divsChild>
                    <w:div w:id="1858227201">
                      <w:marLeft w:val="0"/>
                      <w:marRight w:val="0"/>
                      <w:marTop w:val="0"/>
                      <w:marBottom w:val="0"/>
                      <w:divBdr>
                        <w:top w:val="none" w:sz="0" w:space="0" w:color="auto"/>
                        <w:left w:val="none" w:sz="0" w:space="0" w:color="auto"/>
                        <w:bottom w:val="none" w:sz="0" w:space="0" w:color="auto"/>
                        <w:right w:val="none" w:sz="0" w:space="0" w:color="auto"/>
                      </w:divBdr>
                      <w:divsChild>
                        <w:div w:id="493955198">
                          <w:marLeft w:val="0"/>
                          <w:marRight w:val="0"/>
                          <w:marTop w:val="0"/>
                          <w:marBottom w:val="0"/>
                          <w:divBdr>
                            <w:top w:val="none" w:sz="0" w:space="0" w:color="auto"/>
                            <w:left w:val="none" w:sz="0" w:space="0" w:color="auto"/>
                            <w:bottom w:val="none" w:sz="0" w:space="0" w:color="auto"/>
                            <w:right w:val="none" w:sz="0" w:space="0" w:color="auto"/>
                          </w:divBdr>
                          <w:divsChild>
                            <w:div w:id="1096973558">
                              <w:marLeft w:val="0"/>
                              <w:marRight w:val="0"/>
                              <w:marTop w:val="0"/>
                              <w:marBottom w:val="0"/>
                              <w:divBdr>
                                <w:top w:val="none" w:sz="0" w:space="0" w:color="auto"/>
                                <w:left w:val="none" w:sz="0" w:space="0" w:color="auto"/>
                                <w:bottom w:val="none" w:sz="0" w:space="0" w:color="auto"/>
                                <w:right w:val="none" w:sz="0" w:space="0" w:color="auto"/>
                              </w:divBdr>
                              <w:divsChild>
                                <w:div w:id="4710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999857">
          <w:marLeft w:val="0"/>
          <w:marRight w:val="0"/>
          <w:marTop w:val="0"/>
          <w:marBottom w:val="0"/>
          <w:divBdr>
            <w:top w:val="none" w:sz="0" w:space="0" w:color="auto"/>
            <w:left w:val="none" w:sz="0" w:space="0" w:color="auto"/>
            <w:bottom w:val="none" w:sz="0" w:space="0" w:color="auto"/>
            <w:right w:val="none" w:sz="0" w:space="0" w:color="auto"/>
          </w:divBdr>
        </w:div>
      </w:divsChild>
    </w:div>
    <w:div w:id="811292478">
      <w:bodyDiv w:val="1"/>
      <w:marLeft w:val="0"/>
      <w:marRight w:val="0"/>
      <w:marTop w:val="0"/>
      <w:marBottom w:val="0"/>
      <w:divBdr>
        <w:top w:val="none" w:sz="0" w:space="0" w:color="auto"/>
        <w:left w:val="none" w:sz="0" w:space="0" w:color="auto"/>
        <w:bottom w:val="none" w:sz="0" w:space="0" w:color="auto"/>
        <w:right w:val="none" w:sz="0" w:space="0" w:color="auto"/>
      </w:divBdr>
    </w:div>
    <w:div w:id="1176774384">
      <w:bodyDiv w:val="1"/>
      <w:marLeft w:val="0"/>
      <w:marRight w:val="0"/>
      <w:marTop w:val="0"/>
      <w:marBottom w:val="0"/>
      <w:divBdr>
        <w:top w:val="none" w:sz="0" w:space="0" w:color="auto"/>
        <w:left w:val="none" w:sz="0" w:space="0" w:color="auto"/>
        <w:bottom w:val="none" w:sz="0" w:space="0" w:color="auto"/>
        <w:right w:val="none" w:sz="0" w:space="0" w:color="auto"/>
      </w:divBdr>
    </w:div>
    <w:div w:id="15611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aws-lois.justice.gc.ca/eng/acts/F-1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aws.justice.gc.ca/eng/acts/F-10.6/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justice.gc.ca/eng/acts/F-10.6/index.html"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s://laws.justice.gc.ca/eng/acts/F-10.6/index.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aws.justice.gc.ca/eng/acts/F-10.6/index.html" TargetMode="External"/><Relationship Id="rId14" Type="http://schemas.openxmlformats.org/officeDocument/2006/relationships/hyperlink" Target="mailto:human.resources-ressources.humaines@freshwaterfish.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EC809-2F8D-7148-B26D-50528E8F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Stan Lazar</cp:lastModifiedBy>
  <cp:revision>5</cp:revision>
  <cp:lastPrinted>2025-08-22T19:06:00Z</cp:lastPrinted>
  <dcterms:created xsi:type="dcterms:W3CDTF">2025-05-20T14:18:00Z</dcterms:created>
  <dcterms:modified xsi:type="dcterms:W3CDTF">2025-08-22T19:06:00Z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